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6497955" cy="93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93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10"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July 1, 2023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860" w:right="1280" w:hanging="3850"/>
        <w:spacing w:after="0" w:line="397" w:lineRule="auto"/>
        <w:tabs>
          <w:tab w:leader="none" w:pos="28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00" w:type="dxa"/>
        <w:tblCellMar>
          <w:top w:w="0" w:type="dxa"/>
          <w:left w:w="0" w:type="dxa"/>
          <w:bottom w:w="0" w:type="dxa"/>
          <w:right w:w="0" w:type="dxa"/>
        </w:tblCellMar>
      </w:tblPr>
      <w:tr>
        <w:trPr>
          <w:trHeight w:val="237"/>
        </w:trPr>
        <w:tc>
          <w:tcPr>
            <w:tcW w:w="5340" w:type="dxa"/>
            <w:vAlign w:val="bottom"/>
            <w:gridSpan w:val="4"/>
          </w:tcPr>
          <w:p>
            <w:pPr>
              <w:jc w:val="center"/>
              <w:ind w:right="1260"/>
              <w:spacing w:after="0"/>
              <w:rPr>
                <w:sz w:val="20"/>
                <w:szCs w:val="20"/>
                <w:color w:val="auto"/>
              </w:rPr>
            </w:pPr>
            <w:r>
              <w:rPr>
                <w:rFonts w:ascii="Arial" w:cs="Arial" w:eastAsia="Arial" w:hAnsi="Arial"/>
                <w:sz w:val="18"/>
                <w:szCs w:val="18"/>
                <w:color w:val="auto"/>
                <w:w w:val="94"/>
              </w:rPr>
              <w:t>Michigan</w:t>
            </w:r>
          </w:p>
        </w:tc>
        <w:tc>
          <w:tcPr>
            <w:tcW w:w="390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40" w:type="dxa"/>
            <w:vAlign w:val="bottom"/>
            <w:gridSpan w:val="4"/>
          </w:tcPr>
          <w:p>
            <w:pPr>
              <w:jc w:val="center"/>
              <w:ind w:right="1260"/>
              <w:spacing w:after="0"/>
              <w:rPr>
                <w:sz w:val="20"/>
                <w:szCs w:val="20"/>
                <w:color w:val="auto"/>
              </w:rPr>
            </w:pPr>
            <w:r>
              <w:rPr>
                <w:rFonts w:ascii="Arial" w:cs="Arial" w:eastAsia="Arial" w:hAnsi="Arial"/>
                <w:sz w:val="18"/>
                <w:szCs w:val="18"/>
                <w:color w:val="auto"/>
                <w:w w:val="92"/>
              </w:rPr>
              <w:t>organization)</w:t>
            </w:r>
          </w:p>
        </w:tc>
        <w:tc>
          <w:tcPr>
            <w:tcW w:w="3900" w:type="dxa"/>
            <w:vAlign w:val="bottom"/>
          </w:tcPr>
          <w:p>
            <w:pPr>
              <w:spacing w:after="0"/>
              <w:rPr>
                <w:sz w:val="20"/>
                <w:szCs w:val="20"/>
                <w:color w:val="auto"/>
              </w:rPr>
            </w:pPr>
          </w:p>
        </w:tc>
      </w:tr>
      <w:tr>
        <w:trPr>
          <w:trHeight w:val="439"/>
        </w:trPr>
        <w:tc>
          <w:tcPr>
            <w:tcW w:w="5340" w:type="dxa"/>
            <w:vAlign w:val="bottom"/>
            <w:gridSpan w:val="4"/>
          </w:tcPr>
          <w:p>
            <w:pPr>
              <w:jc w:val="center"/>
              <w:ind w:right="1260"/>
              <w:spacing w:after="0"/>
              <w:rPr>
                <w:sz w:val="20"/>
                <w:szCs w:val="20"/>
                <w:color w:val="auto"/>
              </w:rPr>
            </w:pPr>
            <w:r>
              <w:rPr>
                <w:rFonts w:ascii="Arial" w:cs="Arial" w:eastAsia="Arial" w:hAnsi="Arial"/>
                <w:sz w:val="18"/>
                <w:szCs w:val="18"/>
                <w:color w:val="auto"/>
                <w:w w:val="92"/>
              </w:rPr>
              <w:t>2801 East Beltline NE, Grand Rapids, Michigan</w:t>
            </w:r>
          </w:p>
        </w:tc>
        <w:tc>
          <w:tcPr>
            <w:tcW w:w="3900" w:type="dxa"/>
            <w:vAlign w:val="bottom"/>
          </w:tcPr>
          <w:p>
            <w:pPr>
              <w:jc w:val="right"/>
              <w:ind w:right="177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4"/>
              </w:rPr>
              <w:t>(Zip Code)</w:t>
            </w:r>
          </w:p>
        </w:tc>
      </w:tr>
      <w:tr>
        <w:trPr>
          <w:trHeight w:val="377"/>
        </w:trPr>
        <w:tc>
          <w:tcPr>
            <w:tcW w:w="5340" w:type="dxa"/>
            <w:vAlign w:val="bottom"/>
            <w:gridSpan w:val="4"/>
          </w:tcPr>
          <w:p>
            <w:pPr>
              <w:ind w:left="48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390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832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83230" cy="17145"/>
                    </a:xfrm>
                    <a:prstGeom prst="rect">
                      <a:avLst/>
                    </a:prstGeom>
                    <a:noFill/>
                  </pic:spPr>
                </pic:pic>
              </a:graphicData>
            </a:graphic>
          </wp:anchor>
        </w:drawing>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spacing w:after="0" w:line="230"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8" w:lineRule="exact"/>
        <w:rPr>
          <w:sz w:val="24"/>
          <w:szCs w:val="24"/>
          <w:color w:val="auto"/>
        </w:rPr>
      </w:pPr>
    </w:p>
    <w:p>
      <w:pPr>
        <w:jc w:val="both"/>
        <w:ind w:lef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8" w:lineRule="exact"/>
        <w:rPr>
          <w:sz w:val="24"/>
          <w:szCs w:val="24"/>
          <w:color w:val="auto"/>
        </w:rPr>
      </w:pPr>
    </w:p>
    <w:p>
      <w:pPr>
        <w:jc w:val="both"/>
        <w:ind w:lef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92" w:right="839" w:bottom="1440" w:gutter="0" w:footer="0" w:header="0"/>
        </w:sectPr>
      </w:pPr>
    </w:p>
    <w:p>
      <w:pPr>
        <w:spacing w:after="0" w:line="44"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both"/>
        <w:ind w:right="760"/>
        <w:spacing w:after="0" w:line="26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40" w:lineRule="exact"/>
        <w:rPr>
          <w:sz w:val="24"/>
          <w:szCs w:val="24"/>
          <w:color w:val="auto"/>
        </w:rPr>
      </w:pPr>
    </w:p>
    <w:p>
      <w:pPr>
        <w:sectPr>
          <w:pgSz w:w="11900" w:h="16838" w:orient="portrait"/>
          <w:cols w:equalWidth="0" w:num="4">
            <w:col w:w="2500" w:space="660"/>
            <w:col w:w="1440" w:space="280"/>
            <w:col w:w="1820" w:space="500"/>
            <w:col w:w="3040"/>
          </w:cols>
          <w:pgMar w:left="820" w:top="692" w:right="839" w:bottom="1440" w:gutter="0" w:footer="0" w:header="0"/>
          <w:type w:val="continuous"/>
        </w:sectPr>
      </w:pPr>
    </w:p>
    <w:p>
      <w:pPr>
        <w:ind w:left="20" w:right="18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28" w:lineRule="exact"/>
        <w:tabs>
          <w:tab w:leader="none" w:pos="8800" w:val="left"/>
        </w:tabs>
        <w:rPr>
          <w:sz w:val="20"/>
          <w:szCs w:val="20"/>
          <w:color w:val="auto"/>
        </w:rPr>
      </w:pPr>
      <w:r>
        <w:rPr>
          <w:rFonts w:ascii="Arial" w:cs="Arial" w:eastAsia="Arial" w:hAnsi="Arial"/>
          <w:sz w:val="17"/>
          <w:szCs w:val="17"/>
          <w:color w:val="auto"/>
        </w:rPr>
        <w:t xml:space="preserve">Indicate by checkmark whether the registrant is a shell company (as defined by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ab/>
        <w:t xml:space="preserve">No </w:t>
      </w:r>
      <w:r>
        <w:rPr>
          <w:rFonts w:ascii="Arial Unicode MS" w:cs="Arial Unicode MS" w:eastAsia="Arial Unicode MS" w:hAnsi="Arial Unicode MS"/>
          <w:sz w:val="17"/>
          <w:szCs w:val="17"/>
          <w:color w:val="auto"/>
        </w:rPr>
        <w: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00" w:type="dxa"/>
        <w:tblCellMar>
          <w:top w:w="0" w:type="dxa"/>
          <w:left w:w="0" w:type="dxa"/>
          <w:bottom w:w="0" w:type="dxa"/>
          <w:right w:w="0" w:type="dxa"/>
        </w:tblCellMar>
      </w:tblP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100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as of July 1, 2023</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Common stock, $1 par value</w:t>
            </w:r>
          </w:p>
        </w:tc>
        <w:tc>
          <w:tcPr>
            <w:tcW w:w="1000" w:type="dxa"/>
            <w:vAlign w:val="bottom"/>
          </w:tcPr>
          <w:p>
            <w:pPr>
              <w:spacing w:after="0"/>
              <w:rPr>
                <w:sz w:val="20"/>
                <w:szCs w:val="20"/>
                <w:color w:val="auto"/>
              </w:rPr>
            </w:pPr>
          </w:p>
        </w:tc>
        <w:tc>
          <w:tcPr>
            <w:tcW w:w="4120" w:type="dxa"/>
            <w:vAlign w:val="bottom"/>
          </w:tcPr>
          <w:p>
            <w:pPr>
              <w:jc w:val="right"/>
              <w:ind w:right="1590"/>
              <w:spacing w:after="0"/>
              <w:rPr>
                <w:sz w:val="20"/>
                <w:szCs w:val="20"/>
                <w:color w:val="auto"/>
              </w:rPr>
            </w:pPr>
            <w:r>
              <w:rPr>
                <w:rFonts w:ascii="Arial" w:cs="Arial" w:eastAsia="Arial" w:hAnsi="Arial"/>
                <w:sz w:val="18"/>
                <w:szCs w:val="18"/>
                <w:color w:val="auto"/>
              </w:rPr>
              <w:t>61,865,006</w:t>
            </w: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162"/>
        </w:trPr>
        <w:tc>
          <w:tcPr>
            <w:tcW w:w="29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r>
      <w:tr>
        <w:trPr>
          <w:trHeight w:val="95"/>
        </w:trPr>
        <w:tc>
          <w:tcPr>
            <w:tcW w:w="2900" w:type="dxa"/>
            <w:vAlign w:val="bottom"/>
            <w:tcBorders>
              <w:left w:val="single" w:sz="8" w:color="auto"/>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r>
      <w:tr>
        <w:trPr>
          <w:trHeight w:val="574"/>
        </w:trPr>
        <w:tc>
          <w:tcPr>
            <w:tcW w:w="29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92" w:right="83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Arial" w:cs="Arial" w:eastAsia="Arial" w:hAnsi="Arial"/>
                <w:sz w:val="18"/>
                <w:szCs w:val="18"/>
                <w:color w:val="0000EE"/>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9"/>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65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Balance Sheets at July 1, 2023, December 31, 2022 and June 25,</w:t>
            </w:r>
          </w:p>
        </w:tc>
        <w:tc>
          <w:tcPr>
            <w:tcW w:w="78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2022</w:t>
            </w:r>
          </w:p>
        </w:tc>
        <w:tc>
          <w:tcPr>
            <w:tcW w:w="7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20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5"/>
              </w:rPr>
              <w:t>Condensed Consolidated Statements of Earnings and Comprehensive Income for the</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0000EE"/>
              </w:rPr>
              <w:t>Three and Six Months Ended July 1, 2023 and June 25, 2022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3"/>
              </w:rPr>
              <w:t>Condensed Consolidated Statements of Shareholders’ Equity for the Six Months Ended</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0000EE"/>
              </w:rPr>
              <w:t>July 1, 2023 and June 25, 2022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5"/>
              </w:rPr>
              <w:t>Condensed Consolidated Statements of Cash Flows for the Six Months Ended July 1,</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0000EE"/>
              </w:rPr>
              <w:t>2023 and June 25, 2022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2"/>
              </w:rPr>
              <w:t>Management’s Discussion and Analysis of Financial Condition and Results of Operations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65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Risk Factors - NONE</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3.</w:t>
            </w:r>
          </w:p>
        </w:tc>
        <w:tc>
          <w:tcPr>
            <w:tcW w:w="65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4.</w:t>
            </w:r>
          </w:p>
        </w:tc>
        <w:tc>
          <w:tcPr>
            <w:tcW w:w="65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656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25,</w:t>
            </w:r>
          </w:p>
        </w:tc>
        <w:tc>
          <w:tcPr>
            <w:tcW w:w="0" w:type="dxa"/>
            <w:vAlign w:val="bottom"/>
          </w:tcPr>
          <w:p>
            <w:pPr>
              <w:spacing w:after="0"/>
              <w:rPr>
                <w:sz w:val="1"/>
                <w:szCs w:val="1"/>
                <w:color w:val="auto"/>
              </w:rPr>
            </w:pPr>
          </w:p>
        </w:tc>
      </w:tr>
      <w:tr>
        <w:trPr>
          <w:trHeight w:val="178"/>
        </w:trPr>
        <w:tc>
          <w:tcPr>
            <w:tcW w:w="5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702,148</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559,397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802,300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617,604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1,046,543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Arial" w:cs="Arial" w:eastAsia="Arial" w:hAnsi="Arial"/>
                <w:sz w:val="14"/>
                <w:szCs w:val="14"/>
                <w:color w:val="auto"/>
              </w:rPr>
              <w:t>Raw materials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334,300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398,798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490,923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Finished goods</w:t>
            </w: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486,887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574,429</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615,379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00" w:type="dxa"/>
            <w:vAlign w:val="bottom"/>
          </w:tcPr>
          <w:p>
            <w:pPr>
              <w:ind w:left="440"/>
              <w:spacing w:after="0" w:line="135" w:lineRule="exact"/>
              <w:rPr>
                <w:sz w:val="20"/>
                <w:szCs w:val="20"/>
                <w:color w:val="auto"/>
              </w:rPr>
            </w:pPr>
            <w:r>
              <w:rPr>
                <w:rFonts w:ascii="Arial" w:cs="Arial" w:eastAsia="Arial" w:hAnsi="Arial"/>
                <w:sz w:val="14"/>
                <w:szCs w:val="14"/>
                <w:color w:val="auto"/>
              </w:rPr>
              <w:t>Total inventories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821,187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973,227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1,106,302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36,486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42,520</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36,241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2,415,058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2,262,113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2,376,444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INVESTMENTS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RIGHT OF USE ASSETS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105,907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107,517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107,825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96,079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101,262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336,495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337,320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320,532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INDEFINITE-LIVED INTANGIBLE ASSETS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138,117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143,892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117,869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PROPERTY, PLANT AND EQUIPMENT: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Property, plant and equipment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1,447,482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1,379,968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1,286,037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(729,468)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(690,986)</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(660,873)</w:t>
            </w:r>
          </w:p>
        </w:tc>
        <w:tc>
          <w:tcPr>
            <w:tcW w:w="0" w:type="dxa"/>
            <w:vAlign w:val="bottom"/>
          </w:tcPr>
          <w:p>
            <w:pPr>
              <w:spacing w:after="0"/>
              <w:rPr>
                <w:sz w:val="1"/>
                <w:szCs w:val="1"/>
                <w:color w:val="auto"/>
              </w:rPr>
            </w:pPr>
          </w:p>
        </w:tc>
      </w:tr>
      <w:tr>
        <w:trPr>
          <w:trHeight w:val="143"/>
        </w:trPr>
        <w:tc>
          <w:tcPr>
            <w:tcW w:w="5200" w:type="dxa"/>
            <w:vAlign w:val="bottom"/>
            <w:tcBorders>
              <w:top w:val="single" w:sz="8" w:color="CCEEFF"/>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2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718,014</w:t>
            </w: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688,982</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625,164</w:t>
            </w:r>
          </w:p>
        </w:tc>
        <w:tc>
          <w:tcPr>
            <w:tcW w:w="1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3,843,943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3,672,073</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3,610,823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4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11,926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386,833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Compensation and benefits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296,120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79,414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80,255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107,112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lease liability</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2,942</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40,496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611,835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274,821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275,154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276,315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LEASE LIABILITY</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85,419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51,265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63,389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36,137</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44,697</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35,594</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line="135" w:lineRule="exact"/>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1,002,174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1,068,370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1,285,755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TEMPORARY EQUITY:</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Redeemable noncontrolling interest</w:t>
            </w:r>
          </w:p>
        </w:tc>
        <w:tc>
          <w:tcPr>
            <w:tcW w:w="4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6,772</w:t>
            </w:r>
          </w:p>
        </w:tc>
        <w:tc>
          <w:tcPr>
            <w:tcW w:w="120" w:type="dxa"/>
            <w:vAlign w:val="bottom"/>
          </w:tcPr>
          <w:p>
            <w:pPr>
              <w:spacing w:after="0"/>
              <w:rPr>
                <w:sz w:val="12"/>
                <w:szCs w:val="12"/>
                <w:color w:val="auto"/>
              </w:rPr>
            </w:pPr>
          </w:p>
        </w:tc>
        <w:tc>
          <w:tcPr>
            <w:tcW w:w="3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6,880</w:t>
            </w:r>
          </w:p>
        </w:tc>
        <w:tc>
          <w:tcPr>
            <w:tcW w:w="2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SHAREHOLDERS’ EQUITY:</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2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none</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200" w:type="dxa"/>
            <w:vAlign w:val="bottom"/>
          </w:tcPr>
          <w:p>
            <w:pPr>
              <w:ind w:left="340"/>
              <w:spacing w:after="0" w:line="130" w:lineRule="exact"/>
              <w:rPr>
                <w:sz w:val="20"/>
                <w:szCs w:val="20"/>
                <w:color w:val="auto"/>
              </w:rPr>
            </w:pPr>
            <w:r>
              <w:rPr>
                <w:rFonts w:ascii="Arial" w:cs="Arial" w:eastAsia="Arial" w:hAnsi="Arial"/>
                <w:sz w:val="14"/>
                <w:szCs w:val="14"/>
                <w:color w:val="auto"/>
              </w:rPr>
              <w:t>Common stock, $1 par value; shares authorized 160,000,000; issued and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340"/>
              <w:spacing w:after="0"/>
              <w:rPr>
                <w:sz w:val="20"/>
                <w:szCs w:val="20"/>
                <w:color w:val="auto"/>
              </w:rPr>
            </w:pPr>
            <w:r>
              <w:rPr>
                <w:rFonts w:ascii="Arial" w:cs="Arial" w:eastAsia="Arial" w:hAnsi="Arial"/>
                <w:sz w:val="14"/>
                <w:szCs w:val="14"/>
                <w:color w:val="auto"/>
              </w:rPr>
              <w:t>outstanding, 61,865,006, 61,618,193 and 61,622,527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61,865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61,618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61,623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335,494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294,029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340"/>
              <w:spacing w:after="0" w:line="149" w:lineRule="exact"/>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2,408,314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2,217,410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1,950,922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(9,075)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135"/>
        </w:trPr>
        <w:tc>
          <w:tcPr>
            <w:tcW w:w="5200" w:type="dxa"/>
            <w:vAlign w:val="bottom"/>
            <w:tcBorders>
              <w:top w:val="single" w:sz="8" w:color="CCEEFF"/>
            </w:tcBorders>
          </w:tcPr>
          <w:p>
            <w:pPr>
              <w:ind w:left="440"/>
              <w:spacing w:after="0" w:line="135" w:lineRule="exact"/>
              <w:rPr>
                <w:sz w:val="20"/>
                <w:szCs w:val="20"/>
                <w:color w:val="auto"/>
              </w:rPr>
            </w:pPr>
            <w:r>
              <w:rPr>
                <w:rFonts w:ascii="Arial" w:cs="Arial" w:eastAsia="Arial" w:hAnsi="Arial"/>
                <w:sz w:val="14"/>
                <w:szCs w:val="14"/>
                <w:color w:val="auto"/>
              </w:rPr>
              <w:t>Total controlling interest shareholders’ equity</w:t>
            </w:r>
          </w:p>
        </w:tc>
        <w:tc>
          <w:tcPr>
            <w:tcW w:w="26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2,803,383</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2,563,982</w:t>
            </w: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2,280,148</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0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31,614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32,841</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44,920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CEEFF"/>
            </w:tcBorders>
          </w:tcPr>
          <w:p>
            <w:pPr>
              <w:ind w:left="440"/>
              <w:spacing w:after="0" w:line="149" w:lineRule="exact"/>
              <w:rPr>
                <w:sz w:val="20"/>
                <w:szCs w:val="20"/>
                <w:color w:val="auto"/>
              </w:rPr>
            </w:pPr>
            <w:r>
              <w:rPr>
                <w:rFonts w:ascii="Arial" w:cs="Arial" w:eastAsia="Arial" w:hAnsi="Arial"/>
                <w:sz w:val="14"/>
                <w:szCs w:val="14"/>
                <w:color w:val="auto"/>
              </w:rPr>
              <w:t>TOTAL SHAREHOLDERS’ EQUITY</w:t>
            </w: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2,834,997</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2,596,823</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2,325,068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TOTAL LIABILITIES, TEMPORARY EQUITY AND SHAREHOLDERS’ EQUITY</w:t>
            </w: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3,843,943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3,672,073</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3,610,823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4500" w:type="dxa"/>
            <w:vAlign w:val="bottom"/>
          </w:tcPr>
          <w:p>
            <w:pPr>
              <w:spacing w:after="0"/>
              <w:rPr>
                <w:sz w:val="10"/>
                <w:szCs w:val="10"/>
                <w:color w:val="auto"/>
              </w:rPr>
            </w:pPr>
          </w:p>
        </w:tc>
        <w:tc>
          <w:tcPr>
            <w:tcW w:w="1020" w:type="dxa"/>
            <w:vAlign w:val="bottom"/>
            <w:tcBorders>
              <w:top w:val="single" w:sz="8" w:color="auto"/>
            </w:tcBorders>
            <w:gridSpan w:val="2"/>
          </w:tcPr>
          <w:p>
            <w:pPr>
              <w:ind w:left="280"/>
              <w:spacing w:after="0" w:line="126"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June 25,</w:t>
            </w: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175"/>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June 25,</w:t>
            </w:r>
          </w:p>
        </w:tc>
        <w:tc>
          <w:tcPr>
            <w:tcW w:w="200" w:type="dxa"/>
            <w:vAlign w:val="bottom"/>
          </w:tcPr>
          <w:p>
            <w:pPr>
              <w:spacing w:after="0"/>
              <w:rPr>
                <w:sz w:val="10"/>
                <w:szCs w:val="10"/>
                <w:color w:val="auto"/>
              </w:rPr>
            </w:pPr>
          </w:p>
        </w:tc>
      </w:tr>
      <w:tr>
        <w:trPr>
          <w:trHeight w:val="178"/>
        </w:trPr>
        <w:tc>
          <w:tcPr>
            <w:tcW w:w="4500" w:type="dxa"/>
            <w:vAlign w:val="bottom"/>
          </w:tcPr>
          <w:p>
            <w:pPr>
              <w:spacing w:after="0"/>
              <w:rPr>
                <w:sz w:val="15"/>
                <w:szCs w:val="15"/>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0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8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$ 2,043,918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$ 2,900,874</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$ 3,866,394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$ 5,390,187</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1,643,851</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2,397,422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3,107,998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4,408,372</w:t>
            </w:r>
          </w:p>
        </w:tc>
        <w:tc>
          <w:tcPr>
            <w:tcW w:w="200" w:type="dxa"/>
            <w:vAlign w:val="bottom"/>
          </w:tcPr>
          <w:p>
            <w:pPr>
              <w:spacing w:after="0"/>
              <w:rPr>
                <w:sz w:val="19"/>
                <w:szCs w:val="19"/>
                <w:color w:val="auto"/>
              </w:rPr>
            </w:pP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400,067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503,452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758,396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981,815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204,703</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214,538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399,386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434,688</w:t>
            </w:r>
          </w:p>
        </w:tc>
        <w:tc>
          <w:tcPr>
            <w:tcW w:w="200" w:type="dxa"/>
            <w:vAlign w:val="bottom"/>
          </w:tcPr>
          <w:p>
            <w:pPr>
              <w:spacing w:after="0"/>
              <w:rPr>
                <w:sz w:val="18"/>
                <w:szCs w:val="18"/>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LOSSES (GAINS), NET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00" w:type="dxa"/>
            <w:vAlign w:val="bottom"/>
            <w:shd w:val="clear" w:color="auto" w:fill="CCEEFF"/>
          </w:tcPr>
          <w:p>
            <w:pPr>
              <w:spacing w:after="0"/>
              <w:rPr>
                <w:sz w:val="20"/>
                <w:szCs w:val="20"/>
                <w:color w:val="auto"/>
              </w:rPr>
            </w:pPr>
          </w:p>
        </w:tc>
      </w:tr>
      <w:tr>
        <w:trPr>
          <w:trHeight w:val="203"/>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EARNINGS FROM OPERATIONS</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193,497</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285,566</w:t>
            </w: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355,205</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544,591</w:t>
            </w:r>
          </w:p>
        </w:tc>
        <w:tc>
          <w:tcPr>
            <w:tcW w:w="200" w:type="dxa"/>
            <w:vAlign w:val="bottom"/>
            <w:tcBorders>
              <w:top w:val="single" w:sz="8" w:color="CCEEFF"/>
            </w:tcBorders>
          </w:tcPr>
          <w:p>
            <w:pPr>
              <w:spacing w:after="0"/>
              <w:rPr>
                <w:sz w:val="17"/>
                <w:szCs w:val="17"/>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00" w:type="dxa"/>
            <w:vAlign w:val="bottom"/>
            <w:shd w:val="clear" w:color="auto" w:fill="CCEEFF"/>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INTEREST AND INVESTMENT (INCOME) LOSS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5,247</w:t>
            </w:r>
          </w:p>
        </w:tc>
        <w:tc>
          <w:tcPr>
            <w:tcW w:w="200" w:type="dxa"/>
            <w:vAlign w:val="bottom"/>
          </w:tcPr>
          <w:p>
            <w:pPr>
              <w:spacing w:after="0"/>
              <w:rPr>
                <w:sz w:val="18"/>
                <w:szCs w:val="18"/>
                <w:color w:val="auto"/>
              </w:rPr>
            </w:pP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 OF INVESTEE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0" w:type="dxa"/>
            <w:vAlign w:val="bottom"/>
            <w:shd w:val="clear" w:color="auto" w:fill="CCEEFF"/>
          </w:tcPr>
          <w:p>
            <w:pPr>
              <w:spacing w:after="0"/>
              <w:rPr>
                <w:sz w:val="20"/>
                <w:szCs w:val="20"/>
                <w:color w:val="auto"/>
              </w:rPr>
            </w:pPr>
          </w:p>
        </w:tc>
      </w:tr>
      <w:tr>
        <w:trPr>
          <w:trHeight w:val="210"/>
        </w:trPr>
        <w:tc>
          <w:tcPr>
            <w:tcW w:w="45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(4,025)</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8,566</w:t>
            </w:r>
          </w:p>
        </w:tc>
        <w:tc>
          <w:tcPr>
            <w:tcW w:w="16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(6,866)</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13,476</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531,115</w:t>
            </w:r>
          </w:p>
        </w:tc>
        <w:tc>
          <w:tcPr>
            <w:tcW w:w="200" w:type="dxa"/>
            <w:vAlign w:val="bottom"/>
            <w:shd w:val="clear" w:color="auto" w:fill="CCEEFF"/>
          </w:tcPr>
          <w:p>
            <w:pPr>
              <w:spacing w:after="0"/>
              <w:rPr>
                <w:sz w:val="18"/>
                <w:szCs w:val="18"/>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940" w:type="dxa"/>
            <w:vAlign w:val="bottom"/>
          </w:tcPr>
          <w:p>
            <w:pPr>
              <w:jc w:val="right"/>
              <w:spacing w:after="0"/>
              <w:rPr>
                <w:sz w:val="20"/>
                <w:szCs w:val="20"/>
                <w:color w:val="auto"/>
              </w:rPr>
            </w:pPr>
            <w:r>
              <w:rPr>
                <w:rFonts w:ascii="Arial" w:cs="Arial" w:eastAsia="Arial" w:hAnsi="Arial"/>
                <w:sz w:val="18"/>
                <w:szCs w:val="18"/>
                <w:color w:val="auto"/>
              </w:rPr>
              <w:t>46,734</w:t>
            </w:r>
          </w:p>
        </w:tc>
        <w:tc>
          <w:tcPr>
            <w:tcW w:w="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69,147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85,705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130,131</w:t>
            </w:r>
          </w:p>
        </w:tc>
        <w:tc>
          <w:tcPr>
            <w:tcW w:w="200" w:type="dxa"/>
            <w:vAlign w:val="bottom"/>
          </w:tcPr>
          <w:p>
            <w:pPr>
              <w:spacing w:after="0"/>
              <w:rPr>
                <w:sz w:val="19"/>
                <w:szCs w:val="19"/>
                <w:color w:val="auto"/>
              </w:rPr>
            </w:pP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276,366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400,984</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640"/>
        <w:spacing w:after="0" w:line="260" w:lineRule="auto"/>
        <w:rPr>
          <w:sz w:val="20"/>
          <w:szCs w:val="20"/>
          <w:color w:val="auto"/>
        </w:rPr>
      </w:pPr>
      <w:r>
        <w:rPr>
          <w:rFonts w:ascii="Arial" w:cs="Arial" w:eastAsia="Arial" w:hAnsi="Arial"/>
          <w:sz w:val="16"/>
          <w:szCs w:val="16"/>
          <w:color w:val="auto"/>
        </w:rPr>
        <w:t>NET (EARNINGS) LOSS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left="620"/>
        <w:spacing w:after="0"/>
        <w:tabs>
          <w:tab w:leader="none" w:pos="1480" w:val="left"/>
          <w:tab w:leader="none" w:pos="2760" w:val="left"/>
          <w:tab w:leader="none" w:pos="36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(4,735)</w:t>
      </w:r>
      <w:r>
        <w:rPr>
          <w:sz w:val="20"/>
          <w:szCs w:val="20"/>
          <w:color w:val="auto"/>
        </w:rPr>
        <w:tab/>
      </w:r>
      <w:r>
        <w:rPr>
          <w:rFonts w:ascii="Arial" w:cs="Arial" w:eastAsia="Arial" w:hAnsi="Arial"/>
          <w:sz w:val="18"/>
          <w:szCs w:val="18"/>
          <w:color w:val="auto"/>
        </w:rPr>
        <w:t>464</w:t>
      </w:r>
      <w:r>
        <w:rPr>
          <w:sz w:val="20"/>
          <w:szCs w:val="20"/>
          <w:color w:val="auto"/>
        </w:rPr>
        <w:tab/>
      </w:r>
      <w:r>
        <w:rPr>
          <w:rFonts w:ascii="Arial" w:cs="Arial" w:eastAsia="Arial" w:hAnsi="Arial"/>
          <w:sz w:val="17"/>
          <w:szCs w:val="17"/>
          <w:color w:val="auto"/>
        </w:rPr>
        <w:t>(8,163)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14605</wp:posOffset>
            </wp:positionV>
            <wp:extent cx="565785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080" w:val="left"/>
          <w:tab w:leader="none" w:pos="1380" w:val="left"/>
          <w:tab w:leader="none" w:pos="2160" w:val="left"/>
          <w:tab w:leader="none" w:pos="2440" w:val="left"/>
          <w:tab w:leader="none" w:pos="3260" w:val="left"/>
          <w:tab w:leader="none" w:pos="3560" w:val="left"/>
        </w:tabs>
        <w:rPr>
          <w:sz w:val="20"/>
          <w:szCs w:val="20"/>
          <w:color w:val="auto"/>
        </w:rPr>
      </w:pPr>
      <w:r>
        <w:rPr>
          <w:rFonts w:ascii="Arial" w:cs="Arial" w:eastAsia="Arial" w:hAnsi="Arial"/>
          <w:sz w:val="18"/>
          <w:szCs w:val="18"/>
          <w:u w:val="single" w:color="auto"/>
          <w:color w:val="auto"/>
        </w:rPr>
        <w:t>$</w:t>
        <w:tab/>
        <w:t>150,761</w:t>
        <w:tab/>
        <w:t>$</w:t>
        <w:tab/>
        <w:t>203,118</w:t>
        <w:tab/>
        <w:t>$</w:t>
        <w:tab/>
        <w:t>276,830</w:t>
        <w:tab/>
        <w:t>$</w:t>
      </w:r>
      <w:r>
        <w:rPr>
          <w:sz w:val="20"/>
          <w:szCs w:val="20"/>
          <w:color w:val="auto"/>
        </w:rPr>
        <w:tab/>
      </w:r>
      <w:r>
        <w:rPr>
          <w:rFonts w:ascii="Arial" w:cs="Arial" w:eastAsia="Arial" w:hAnsi="Arial"/>
          <w:sz w:val="16"/>
          <w:szCs w:val="16"/>
          <w:u w:val="single" w:color="auto"/>
          <w:color w:val="auto"/>
        </w:rPr>
        <w:t>392,821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2682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880" w:space="680"/>
            <w:col w:w="4459"/>
          </w:cols>
          <w:pgMar w:left="1440" w:top="544" w:right="1440" w:bottom="1440" w:gutter="0" w:footer="0" w:header="0"/>
          <w:type w:val="continuous"/>
        </w:sectPr>
      </w:pP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 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EARNINGS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400,984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(4,383)</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287,096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399,785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0"/>
              <w:spacing w:after="0"/>
              <w:rPr>
                <w:sz w:val="20"/>
                <w:szCs w:val="20"/>
                <w:color w:val="auto"/>
              </w:rPr>
            </w:pPr>
            <w:r>
              <w:rPr>
                <w:rFonts w:ascii="Arial" w:cs="Arial" w:eastAsia="Arial" w:hAnsi="Arial"/>
                <w:sz w:val="16"/>
                <w:szCs w:val="16"/>
                <w:color w:val="auto"/>
              </w:rPr>
              <w:t>COMPREHENSIVE INCOME ATTRIBUTABLE TO</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(1,721)</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(4,640)</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(3,481)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199"/>
        </w:trPr>
        <w:tc>
          <w:tcPr>
            <w:tcW w:w="45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w:t>
            </w: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500" w:type="dxa"/>
            <w:vAlign w:val="bottom"/>
            <w:vMerge w:val="continue"/>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153,545</w:t>
            </w:r>
          </w:p>
        </w:tc>
        <w:tc>
          <w:tcPr>
            <w:tcW w:w="8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198,830</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283,615</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390,768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w:t>
            </w:r>
          </w:p>
        </w:tc>
        <w:tc>
          <w:tcPr>
            <w:tcW w:w="2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w:t>
      </w:r>
    </w:p>
    <w:p>
      <w:pPr>
        <w:ind w:left="60"/>
        <w:spacing w:after="0" w:line="226" w:lineRule="auto"/>
        <w:rPr>
          <w:sz w:val="20"/>
          <w:szCs w:val="20"/>
          <w:color w:val="auto"/>
        </w:rPr>
      </w:pPr>
      <w:r>
        <w:rPr>
          <w:rFonts w:ascii="Arial" w:cs="Arial" w:eastAsia="Arial" w:hAnsi="Arial"/>
          <w:sz w:val="14"/>
          <w:szCs w:val="14"/>
          <w:b w:val="1"/>
          <w:bCs w:val="1"/>
          <w:color w:val="auto"/>
        </w:rPr>
        <w:t>data)</w:t>
      </w:r>
    </w:p>
    <w:tbl>
      <w:tblPr>
        <w:tblLayout w:type="fixed"/>
        <w:tblInd w:w="4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jc w:val="right"/>
              <w:spacing w:after="0" w:line="156" w:lineRule="exact"/>
              <w:rPr>
                <w:sz w:val="20"/>
                <w:szCs w:val="20"/>
                <w:color w:val="auto"/>
              </w:rPr>
            </w:pPr>
            <w:r>
              <w:rPr>
                <w:rFonts w:ascii="Arial" w:cs="Arial" w:eastAsia="Arial" w:hAnsi="Arial"/>
                <w:sz w:val="14"/>
                <w:szCs w:val="14"/>
                <w:b w:val="1"/>
                <w:bCs w:val="1"/>
                <w:color w:val="auto"/>
              </w:rPr>
              <w:t>Controlling Interest Shareholders’ Equity</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Temporary</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Interest (NCI)</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90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31, 2022</w:t>
            </w: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61,618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294,029</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2,217,410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(9,075)</w:t>
            </w: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32,841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2,596,823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6,880</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126,069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125,756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NCI</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(4,859)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(4,859)</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$0.25 per share - quarterly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(15,642)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(15,642)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3"/>
              </w:rPr>
              <w:t>Issuance of 10,140 shares under employee stock</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824,669 shares under stock grant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Issuance of 93,165 shares under deferred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450,597 shares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(34,818)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(35,268)</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compensation arrangements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9,598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Accrued expense under deferred compensation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April 1, 2023</w:t>
            </w: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62,096</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325,730</w:t>
            </w:r>
          </w:p>
        </w:tc>
        <w:tc>
          <w:tcPr>
            <w:tcW w:w="6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2,293,025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(5,074)</w:t>
            </w:r>
          </w:p>
        </w:tc>
        <w:tc>
          <w:tcPr>
            <w:tcW w:w="60" w:type="dxa"/>
            <w:vAlign w:val="bottom"/>
          </w:tcPr>
          <w:p>
            <w:pPr>
              <w:spacing w:after="0"/>
              <w:rPr>
                <w:sz w:val="11"/>
                <w:szCs w:val="11"/>
                <w:color w:val="auto"/>
              </w:rPr>
            </w:pPr>
          </w:p>
        </w:tc>
        <w:tc>
          <w:tcPr>
            <w:tcW w:w="540" w:type="dxa"/>
            <w:vAlign w:val="bottom"/>
          </w:tcPr>
          <w:p>
            <w:pPr>
              <w:jc w:val="right"/>
              <w:ind w:right="388"/>
              <w:spacing w:after="0" w:line="135" w:lineRule="exact"/>
              <w:rPr>
                <w:sz w:val="20"/>
                <w:szCs w:val="20"/>
                <w:color w:val="auto"/>
              </w:rPr>
            </w:pPr>
            <w:r>
              <w:rPr>
                <w:rFonts w:ascii="Arial" w:cs="Arial" w:eastAsia="Arial" w:hAnsi="Arial"/>
                <w:sz w:val="14"/>
                <w:szCs w:val="14"/>
                <w:b w:val="1"/>
                <w:bCs w:val="1"/>
                <w:color w:val="auto"/>
                <w:w w:val="76"/>
              </w:rPr>
              <w:t>$</w:t>
            </w: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29,864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2,705,641</w:t>
            </w:r>
          </w:p>
        </w:tc>
        <w:tc>
          <w:tcPr>
            <w:tcW w:w="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6,801</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150,817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2,983</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(427)</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$0.25 per share - quarterly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(15,507)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(15,507)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Issuance of 9,253 shares under employee stock</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5"/>
              </w:rPr>
              <w:t>Net forfeitures of 1,503 shares under stock grant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Issuance of 11,686 shares under deferred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250,000 shares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(19,965)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(20,216)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Arial" w:cs="Arial" w:eastAsia="Arial" w:hAnsi="Arial"/>
                <w:sz w:val="14"/>
                <w:szCs w:val="14"/>
                <w:color w:val="auto"/>
              </w:rPr>
              <w:t>compensation arrangements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8,201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Accrued expense under deferred compensation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Balance on July 1, 2023</w:t>
            </w: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61,865</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335,494</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2,408,314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(2,290)</w:t>
            </w:r>
          </w:p>
        </w:tc>
        <w:tc>
          <w:tcPr>
            <w:tcW w:w="60" w:type="dxa"/>
            <w:vAlign w:val="bottom"/>
          </w:tcPr>
          <w:p>
            <w:pPr>
              <w:spacing w:after="0"/>
              <w:rPr>
                <w:sz w:val="11"/>
                <w:szCs w:val="11"/>
                <w:color w:val="auto"/>
              </w:rPr>
            </w:pPr>
          </w:p>
        </w:tc>
        <w:tc>
          <w:tcPr>
            <w:tcW w:w="540" w:type="dxa"/>
            <w:vAlign w:val="bottom"/>
            <w:tcBorders>
              <w:bottom w:val="single" w:sz="8" w:color="auto"/>
            </w:tcBorders>
          </w:tcPr>
          <w:p>
            <w:pPr>
              <w:jc w:val="right"/>
              <w:ind w:right="388"/>
              <w:spacing w:after="0" w:line="129"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31,614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2,834,997</w:t>
            </w:r>
          </w:p>
        </w:tc>
        <w:tc>
          <w:tcPr>
            <w:tcW w:w="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6,772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40" w:right="59"/>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CONTINUED (Unaudited)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w:t>
      </w:r>
    </w:p>
    <w:p>
      <w:pPr>
        <w:ind w:left="60"/>
        <w:spacing w:after="0" w:line="226" w:lineRule="auto"/>
        <w:rPr>
          <w:sz w:val="20"/>
          <w:szCs w:val="20"/>
          <w:color w:val="auto"/>
        </w:rPr>
      </w:pPr>
      <w:r>
        <w:rPr>
          <w:rFonts w:ascii="Arial" w:cs="Arial" w:eastAsia="Arial" w:hAnsi="Arial"/>
          <w:sz w:val="14"/>
          <w:szCs w:val="14"/>
          <w:b w:val="1"/>
          <w:bCs w:val="1"/>
          <w:color w:val="auto"/>
        </w:rPr>
        <w:t>data)</w:t>
      </w:r>
    </w:p>
    <w:tbl>
      <w:tblPr>
        <w:tblLayout w:type="fixed"/>
        <w:tblInd w:w="4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spacing w:after="0" w:line="156" w:lineRule="exact"/>
              <w:rPr>
                <w:sz w:val="20"/>
                <w:szCs w:val="20"/>
                <w:color w:val="auto"/>
              </w:rPr>
            </w:pPr>
            <w:r>
              <w:rPr>
                <w:rFonts w:ascii="Arial" w:cs="Arial" w:eastAsia="Arial" w:hAnsi="Arial"/>
                <w:sz w:val="14"/>
                <w:szCs w:val="14"/>
                <w:b w:val="1"/>
                <w:bCs w:val="1"/>
                <w:color w:val="auto"/>
              </w:rPr>
              <w:t>Controlling Interest Shareholders’ Equity</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Temporary</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(NCI)</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84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25, 2021</w:t>
            </w: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61,902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243,995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1,678,121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(5,405)</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40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37,956</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2,016,569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189,703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193,131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NCI</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(2,053)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$0.20 per share - quarterly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(12,541)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Issuance of 9,734 shares under employee stock</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w w:val="98"/>
              </w:rPr>
              <w:t>Issuance of 787,045 shares under stock grant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79,973 shares under deferred</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Repurchase of 44,442 shares</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w w:val="94"/>
              </w:rPr>
              <w:t>Accrued expense under deferred compensation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6,134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40" w:type="dxa"/>
            <w:vAlign w:val="bottom"/>
            <w:tcBorders>
              <w:bottom w:val="single" w:sz="8" w:color="CCEEFF"/>
            </w:tcBorders>
          </w:tcPr>
          <w:p>
            <w:pPr>
              <w:ind w:left="20"/>
              <w:spacing w:after="0" w:line="154" w:lineRule="exact"/>
              <w:rPr>
                <w:sz w:val="20"/>
                <w:szCs w:val="20"/>
                <w:color w:val="auto"/>
              </w:rPr>
            </w:pPr>
            <w:r>
              <w:rPr>
                <w:rFonts w:ascii="Arial" w:cs="Arial" w:eastAsia="Arial" w:hAnsi="Arial"/>
                <w:sz w:val="14"/>
                <w:szCs w:val="14"/>
                <w:color w:val="auto"/>
              </w:rPr>
              <w:t>plans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March 26, 2022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62,734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266,544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1,851,784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(3,170)</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0"/>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40,280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2,218,172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203,118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4,735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207,853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(3,660)</w:t>
            </w: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Arial" w:cs="Arial" w:eastAsia="Arial" w:hAnsi="Arial"/>
                <w:sz w:val="14"/>
                <w:szCs w:val="14"/>
                <w:color w:val="auto"/>
              </w:rPr>
              <w:t>Unrealized loss on debt securities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(628)</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$0.25 per share - quarterly</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Issuance of 13,875 shares under employee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28,154 shares under stock grant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Issuance of 11,605 shares under deferred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1,165,268 shares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4"/>
                <w:szCs w:val="14"/>
                <w:color w:val="auto"/>
              </w:rPr>
              <w:t>compensation arrangements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5,556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Accrued expense under deferred compensation</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4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June 25, 2022</w:t>
            </w:r>
          </w:p>
        </w:tc>
        <w:tc>
          <w:tcPr>
            <w:tcW w:w="1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61,623</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275,061</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1,950,922</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(7,458)</w:t>
            </w:r>
          </w:p>
        </w:tc>
        <w:tc>
          <w:tcPr>
            <w:tcW w:w="80" w:type="dxa"/>
            <w:vAlign w:val="bottom"/>
          </w:tcPr>
          <w:p>
            <w:pPr>
              <w:spacing w:after="0"/>
              <w:rPr>
                <w:sz w:val="11"/>
                <w:szCs w:val="11"/>
                <w:color w:val="auto"/>
              </w:rPr>
            </w:pPr>
          </w:p>
        </w:tc>
        <w:tc>
          <w:tcPr>
            <w:tcW w:w="52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8"/>
              </w:rPr>
              <w:t>44,920</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2,325,068</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ind w:left="460"/>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2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6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08"/>
              <w:spacing w:after="0" w:line="126" w:lineRule="exact"/>
              <w:rPr>
                <w:sz w:val="20"/>
                <w:szCs w:val="20"/>
                <w:color w:val="auto"/>
              </w:rPr>
            </w:pPr>
            <w:r>
              <w:rPr>
                <w:rFonts w:ascii="Arial" w:cs="Arial" w:eastAsia="Arial" w:hAnsi="Arial"/>
                <w:sz w:val="14"/>
                <w:szCs w:val="14"/>
                <w:b w:val="1"/>
                <w:bCs w:val="1"/>
                <w:color w:val="auto"/>
                <w:w w:val="99"/>
              </w:rPr>
              <w:t>June 25,</w:t>
            </w:r>
          </w:p>
        </w:tc>
        <w:tc>
          <w:tcPr>
            <w:tcW w:w="320" w:type="dxa"/>
            <w:vAlign w:val="bottom"/>
          </w:tcPr>
          <w:p>
            <w:pPr>
              <w:spacing w:after="0"/>
              <w:rPr>
                <w:sz w:val="10"/>
                <w:szCs w:val="10"/>
                <w:color w:val="auto"/>
              </w:rPr>
            </w:pPr>
          </w:p>
        </w:tc>
      </w:tr>
      <w:tr>
        <w:trPr>
          <w:trHeight w:val="178"/>
        </w:trPr>
        <w:tc>
          <w:tcPr>
            <w:tcW w:w="6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276,366</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400,984</w:t>
            </w:r>
          </w:p>
        </w:tc>
        <w:tc>
          <w:tcPr>
            <w:tcW w:w="320" w:type="dxa"/>
            <w:vAlign w:val="bottom"/>
          </w:tcPr>
          <w:p>
            <w:pPr>
              <w:spacing w:after="0"/>
              <w:rPr>
                <w:sz w:val="12"/>
                <w:szCs w:val="12"/>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earnings to net cash used in operating activities: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52,786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44,034</w:t>
            </w:r>
          </w:p>
        </w:tc>
        <w:tc>
          <w:tcPr>
            <w:tcW w:w="32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8,740</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12,542</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Unrealized (gain) loss on investments and other</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6,181</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Equity in loss of investee</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Net (gain) loss on sale and disposition of assets</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766</w:t>
            </w:r>
          </w:p>
        </w:tc>
        <w:tc>
          <w:tcPr>
            <w:tcW w:w="32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(183,717)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(304,715)</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(134,653)</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 and cash overdraft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56,899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56,120</w:t>
            </w:r>
          </w:p>
        </w:tc>
        <w:tc>
          <w:tcPr>
            <w:tcW w:w="320" w:type="dxa"/>
            <w:vAlign w:val="bottom"/>
          </w:tcPr>
          <w:p>
            <w:pPr>
              <w:spacing w:after="0"/>
              <w:rPr>
                <w:sz w:val="12"/>
                <w:szCs w:val="12"/>
                <w:color w:val="auto"/>
              </w:rPr>
            </w:pPr>
          </w:p>
        </w:tc>
      </w:tr>
      <w:tr>
        <w:trPr>
          <w:trHeight w:val="168"/>
        </w:trPr>
        <w:tc>
          <w:tcPr>
            <w:tcW w:w="6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Accrued liabilities and other</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(63,142)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w:t>
            </w:r>
          </w:p>
        </w:tc>
        <w:tc>
          <w:tcPr>
            <w:tcW w:w="320" w:type="dxa"/>
            <w:vAlign w:val="bottom"/>
            <w:shd w:val="clear" w:color="auto" w:fill="CCEEFF"/>
          </w:tcPr>
          <w:p>
            <w:pPr>
              <w:spacing w:after="0"/>
              <w:rPr>
                <w:sz w:val="14"/>
                <w:szCs w:val="14"/>
                <w:color w:val="auto"/>
              </w:rPr>
            </w:pPr>
          </w:p>
        </w:tc>
      </w:tr>
      <w:tr>
        <w:trPr>
          <w:trHeight w:val="136"/>
        </w:trPr>
        <w:tc>
          <w:tcPr>
            <w:tcW w:w="6660" w:type="dxa"/>
            <w:vAlign w:val="bottom"/>
            <w:tcBorders>
              <w:top w:val="single" w:sz="8" w:color="CCEEFF"/>
            </w:tcBorders>
          </w:tcPr>
          <w:p>
            <w:pPr>
              <w:ind w:left="120"/>
              <w:spacing w:after="0" w:line="135" w:lineRule="exact"/>
              <w:rPr>
                <w:sz w:val="20"/>
                <w:szCs w:val="20"/>
                <w:color w:val="auto"/>
              </w:rPr>
            </w:pPr>
            <w:r>
              <w:rPr>
                <w:rFonts w:ascii="Arial" w:cs="Arial" w:eastAsia="Arial" w:hAnsi="Arial"/>
                <w:sz w:val="14"/>
                <w:szCs w:val="14"/>
                <w:color w:val="auto"/>
              </w:rPr>
              <w:t>NET CASH FROM OPERATING ACTIVITIES</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321,064</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90,397</w:t>
            </w:r>
          </w:p>
        </w:tc>
        <w:tc>
          <w:tcPr>
            <w:tcW w:w="320" w:type="dxa"/>
            <w:vAlign w:val="bottom"/>
            <w:tcBorders>
              <w:top w:val="single" w:sz="8" w:color="CCEEFF"/>
            </w:tcBorders>
          </w:tcPr>
          <w:p>
            <w:pPr>
              <w:spacing w:after="0"/>
              <w:rPr>
                <w:sz w:val="11"/>
                <w:szCs w:val="11"/>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USED IN INVESTING ACTIVITIES: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(84,981)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(71,675)</w:t>
            </w:r>
          </w:p>
        </w:tc>
        <w:tc>
          <w:tcPr>
            <w:tcW w:w="320" w:type="dxa"/>
            <w:vAlign w:val="bottom"/>
          </w:tcPr>
          <w:p>
            <w:pPr>
              <w:spacing w:after="0"/>
              <w:rPr>
                <w:sz w:val="12"/>
                <w:szCs w:val="12"/>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320" w:type="dxa"/>
            <w:vAlign w:val="bottom"/>
            <w:shd w:val="clear" w:color="auto" w:fill="CCEEFF"/>
          </w:tcPr>
          <w:p>
            <w:pPr>
              <w:spacing w:after="0"/>
              <w:rPr>
                <w:sz w:val="14"/>
                <w:szCs w:val="14"/>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Acquisitions, net of cash received and purchase of equity method investment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(39,343)</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(15,166)</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sale of investments</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8,221</w:t>
            </w:r>
          </w:p>
        </w:tc>
        <w:tc>
          <w:tcPr>
            <w:tcW w:w="320" w:type="dxa"/>
            <w:vAlign w:val="bottom"/>
          </w:tcPr>
          <w:p>
            <w:pPr>
              <w:spacing w:after="0"/>
              <w:rPr>
                <w:sz w:val="12"/>
                <w:szCs w:val="12"/>
                <w:color w:val="auto"/>
              </w:rPr>
            </w:pPr>
          </w:p>
        </w:tc>
      </w:tr>
      <w:tr>
        <w:trPr>
          <w:trHeight w:val="169"/>
        </w:trPr>
        <w:tc>
          <w:tcPr>
            <w:tcW w:w="66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320" w:type="dxa"/>
            <w:vAlign w:val="bottom"/>
            <w:tcBorders>
              <w:bottom w:val="single" w:sz="8" w:color="CCEEFF"/>
            </w:tcBorders>
            <w:shd w:val="clear" w:color="auto" w:fill="CCEEFF"/>
          </w:tcPr>
          <w:p>
            <w:pPr>
              <w:spacing w:after="0"/>
              <w:rPr>
                <w:sz w:val="14"/>
                <w:szCs w:val="14"/>
                <w:color w:val="auto"/>
              </w:rPr>
            </w:pPr>
          </w:p>
        </w:tc>
      </w:tr>
      <w:tr>
        <w:trPr>
          <w:trHeight w:val="135"/>
        </w:trPr>
        <w:tc>
          <w:tcPr>
            <w:tcW w:w="6660" w:type="dxa"/>
            <w:vAlign w:val="bottom"/>
          </w:tcPr>
          <w:p>
            <w:pPr>
              <w:ind w:left="120"/>
              <w:spacing w:after="0" w:line="135"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(85,310)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(118,763)</w:t>
            </w:r>
          </w:p>
        </w:tc>
        <w:tc>
          <w:tcPr>
            <w:tcW w:w="320" w:type="dxa"/>
            <w:vAlign w:val="bottom"/>
          </w:tcPr>
          <w:p>
            <w:pPr>
              <w:spacing w:after="0"/>
              <w:rPr>
                <w:sz w:val="11"/>
                <w:szCs w:val="11"/>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USED IN FINANCING ACTIVITIES: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570,700</w:t>
            </w:r>
          </w:p>
        </w:tc>
        <w:tc>
          <w:tcPr>
            <w:tcW w:w="32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(571,075)</w:t>
            </w: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Repayments of debt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(2,485)</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w:t>
            </w:r>
          </w:p>
        </w:tc>
        <w:tc>
          <w:tcPr>
            <w:tcW w:w="32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1,457</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paid to shareholders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(28,015)</w:t>
            </w:r>
          </w:p>
        </w:tc>
        <w:tc>
          <w:tcPr>
            <w:tcW w:w="32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(2,053)</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(55,484)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(90,805)</w:t>
            </w:r>
          </w:p>
        </w:tc>
        <w:tc>
          <w:tcPr>
            <w:tcW w:w="320" w:type="dxa"/>
            <w:vAlign w:val="bottom"/>
            <w:shd w:val="clear" w:color="auto" w:fill="CCEEFF"/>
          </w:tcPr>
          <w:p>
            <w:pPr>
              <w:spacing w:after="0"/>
              <w:rPr>
                <w:sz w:val="12"/>
                <w:szCs w:val="12"/>
                <w:color w:val="auto"/>
              </w:rPr>
            </w:pPr>
          </w:p>
        </w:tc>
      </w:tr>
      <w:tr>
        <w:trPr>
          <w:trHeight w:val="155"/>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w:t>
            </w:r>
          </w:p>
        </w:tc>
        <w:tc>
          <w:tcPr>
            <w:tcW w:w="320" w:type="dxa"/>
            <w:vAlign w:val="bottom"/>
            <w:tcBorders>
              <w:bottom w:val="single" w:sz="8" w:color="CCEEFF"/>
            </w:tcBorders>
          </w:tcPr>
          <w:p>
            <w:pPr>
              <w:spacing w:after="0"/>
              <w:rPr>
                <w:sz w:val="13"/>
                <w:szCs w:val="13"/>
                <w:color w:val="auto"/>
              </w:rPr>
            </w:pPr>
          </w:p>
        </w:tc>
      </w:tr>
      <w:tr>
        <w:trPr>
          <w:trHeight w:val="162"/>
        </w:trPr>
        <w:tc>
          <w:tcPr>
            <w:tcW w:w="6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(125,013)</w:t>
            </w:r>
          </w:p>
        </w:tc>
        <w:tc>
          <w:tcPr>
            <w:tcW w:w="320" w:type="dxa"/>
            <w:vAlign w:val="bottom"/>
            <w:shd w:val="clear" w:color="auto" w:fill="CCEEFF"/>
          </w:tcPr>
          <w:p>
            <w:pPr>
              <w:spacing w:after="0"/>
              <w:rPr>
                <w:sz w:val="14"/>
                <w:szCs w:val="14"/>
                <w:color w:val="auto"/>
              </w:rPr>
            </w:pPr>
          </w:p>
        </w:tc>
      </w:tr>
      <w:tr>
        <w:trPr>
          <w:trHeight w:val="155"/>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Effect of exchange rate changes on cash</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956</w:t>
            </w:r>
          </w:p>
        </w:tc>
        <w:tc>
          <w:tcPr>
            <w:tcW w:w="320" w:type="dxa"/>
            <w:vAlign w:val="bottom"/>
            <w:tcBorders>
              <w:bottom w:val="single" w:sz="8" w:color="CCEEFF"/>
            </w:tcBorders>
          </w:tcPr>
          <w:p>
            <w:pPr>
              <w:spacing w:after="0"/>
              <w:rPr>
                <w:sz w:val="13"/>
                <w:szCs w:val="13"/>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CHANGE IN CASH AND CASH EQUIVALENTS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143,286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(152,423)</w:t>
            </w:r>
          </w:p>
        </w:tc>
        <w:tc>
          <w:tcPr>
            <w:tcW w:w="320" w:type="dxa"/>
            <w:vAlign w:val="bottom"/>
            <w:shd w:val="clear" w:color="auto" w:fill="CCEEFF"/>
          </w:tcPr>
          <w:p>
            <w:pPr>
              <w:spacing w:after="0"/>
              <w:rPr>
                <w:sz w:val="12"/>
                <w:szCs w:val="12"/>
                <w:color w:val="auto"/>
              </w:rPr>
            </w:pPr>
          </w:p>
        </w:tc>
      </w:tr>
      <w:tr>
        <w:trPr>
          <w:trHeight w:val="156"/>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559,623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291,223</w:t>
            </w:r>
          </w:p>
        </w:tc>
        <w:tc>
          <w:tcPr>
            <w:tcW w:w="320" w:type="dxa"/>
            <w:vAlign w:val="bottom"/>
            <w:tcBorders>
              <w:bottom w:val="single" w:sz="8" w:color="CCEEFF"/>
            </w:tcBorders>
          </w:tcPr>
          <w:p>
            <w:pPr>
              <w:spacing w:after="0"/>
              <w:rPr>
                <w:sz w:val="13"/>
                <w:szCs w:val="13"/>
                <w:color w:val="auto"/>
              </w:rPr>
            </w:pPr>
          </w:p>
        </w:tc>
      </w:tr>
      <w:tr>
        <w:trPr>
          <w:trHeight w:val="148"/>
        </w:trPr>
        <w:tc>
          <w:tcPr>
            <w:tcW w:w="66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702,909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138,800</w:t>
            </w:r>
          </w:p>
        </w:tc>
        <w:tc>
          <w:tcPr>
            <w:tcW w:w="320" w:type="dxa"/>
            <w:vAlign w:val="bottom"/>
            <w:tcBorders>
              <w:bottom w:val="single" w:sz="8" w:color="CCEEFF"/>
            </w:tcBorders>
            <w:shd w:val="clear" w:color="auto" w:fill="CCEEFF"/>
          </w:tcPr>
          <w:p>
            <w:pPr>
              <w:spacing w:after="0"/>
              <w:rPr>
                <w:sz w:val="12"/>
                <w:szCs w:val="12"/>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2"/>
        </w:trPr>
        <w:tc>
          <w:tcPr>
            <w:tcW w:w="6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559,397</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286,662</w:t>
            </w:r>
          </w:p>
        </w:tc>
        <w:tc>
          <w:tcPr>
            <w:tcW w:w="320" w:type="dxa"/>
            <w:vAlign w:val="bottom"/>
          </w:tcPr>
          <w:p>
            <w:pPr>
              <w:spacing w:after="0"/>
              <w:rPr>
                <w:sz w:val="12"/>
                <w:szCs w:val="12"/>
                <w:color w:val="auto"/>
              </w:rPr>
            </w:pPr>
          </w:p>
        </w:tc>
      </w:tr>
      <w:tr>
        <w:trPr>
          <w:trHeight w:val="149"/>
        </w:trPr>
        <w:tc>
          <w:tcPr>
            <w:tcW w:w="66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4,561</w:t>
            </w:r>
          </w:p>
        </w:tc>
        <w:tc>
          <w:tcPr>
            <w:tcW w:w="320" w:type="dxa"/>
            <w:vAlign w:val="bottom"/>
            <w:tcBorders>
              <w:bottom w:val="single" w:sz="8" w:color="CCEEFF"/>
            </w:tcBorders>
            <w:shd w:val="clear" w:color="auto" w:fill="CCEEFF"/>
          </w:tcPr>
          <w:p>
            <w:pPr>
              <w:spacing w:after="0"/>
              <w:rPr>
                <w:sz w:val="12"/>
                <w:szCs w:val="12"/>
                <w:color w:val="auto"/>
              </w:rPr>
            </w:pPr>
          </w:p>
        </w:tc>
      </w:tr>
      <w:tr>
        <w:trPr>
          <w:trHeight w:val="142"/>
        </w:trPr>
        <w:tc>
          <w:tcPr>
            <w:tcW w:w="6660" w:type="dxa"/>
            <w:vAlign w:val="bottom"/>
          </w:tcPr>
          <w:p>
            <w:pPr>
              <w:ind w:left="20"/>
              <w:spacing w:after="0" w:line="129" w:lineRule="exact"/>
              <w:rPr>
                <w:sz w:val="20"/>
                <w:szCs w:val="20"/>
                <w:color w:val="auto"/>
              </w:rPr>
            </w:pPr>
            <w:r>
              <w:rPr>
                <w:rFonts w:ascii="Arial" w:cs="Arial" w:eastAsia="Arial" w:hAnsi="Arial"/>
                <w:sz w:val="14"/>
                <w:szCs w:val="14"/>
                <w:color w:val="auto"/>
              </w:rPr>
              <w:t>Cash, cash equivalents, and restricted cash, beginning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559,623</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2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291,223</w:t>
            </w:r>
          </w:p>
        </w:tc>
        <w:tc>
          <w:tcPr>
            <w:tcW w:w="320" w:type="dxa"/>
            <w:vAlign w:val="bottom"/>
          </w:tcPr>
          <w:p>
            <w:pPr>
              <w:spacing w:after="0"/>
              <w:rPr>
                <w:sz w:val="12"/>
                <w:szCs w:val="12"/>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r>
      <w:tr>
        <w:trPr>
          <w:trHeight w:val="61"/>
        </w:trPr>
        <w:tc>
          <w:tcPr>
            <w:tcW w:w="6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Cash and cash equivalents,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702,148</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138,071</w:t>
            </w:r>
          </w:p>
        </w:tc>
        <w:tc>
          <w:tcPr>
            <w:tcW w:w="320" w:type="dxa"/>
            <w:vAlign w:val="bottom"/>
          </w:tcPr>
          <w:p>
            <w:pPr>
              <w:spacing w:after="0"/>
              <w:rPr>
                <w:sz w:val="12"/>
                <w:szCs w:val="12"/>
                <w:color w:val="auto"/>
              </w:rPr>
            </w:pPr>
          </w:p>
        </w:tc>
      </w:tr>
      <w:tr>
        <w:trPr>
          <w:trHeight w:val="148"/>
        </w:trPr>
        <w:tc>
          <w:tcPr>
            <w:tcW w:w="66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 end of period</w:t>
            </w: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320" w:type="dxa"/>
            <w:vAlign w:val="bottom"/>
            <w:tcBorders>
              <w:bottom w:val="single" w:sz="8" w:color="CCEEFF"/>
            </w:tcBorders>
            <w:shd w:val="clear" w:color="auto" w:fill="CCEEFF"/>
          </w:tcPr>
          <w:p>
            <w:pPr>
              <w:spacing w:after="0"/>
              <w:rPr>
                <w:sz w:val="12"/>
                <w:szCs w:val="12"/>
                <w:color w:val="auto"/>
              </w:rPr>
            </w:pPr>
          </w:p>
        </w:tc>
      </w:tr>
      <w:tr>
        <w:trPr>
          <w:trHeight w:val="142"/>
        </w:trPr>
        <w:tc>
          <w:tcPr>
            <w:tcW w:w="6660" w:type="dxa"/>
            <w:vAlign w:val="bottom"/>
          </w:tcPr>
          <w:p>
            <w:pPr>
              <w:ind w:left="20"/>
              <w:spacing w:after="0" w:line="129" w:lineRule="exact"/>
              <w:rPr>
                <w:sz w:val="20"/>
                <w:szCs w:val="20"/>
                <w:color w:val="auto"/>
              </w:rPr>
            </w:pPr>
            <w:r>
              <w:rPr>
                <w:rFonts w:ascii="Arial" w:cs="Arial" w:eastAsia="Arial" w:hAnsi="Arial"/>
                <w:sz w:val="14"/>
                <w:szCs w:val="14"/>
                <w:color w:val="auto"/>
              </w:rPr>
              <w:t>Cash, cash equivalents, and restricted cash,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702,909</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2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138,800</w:t>
            </w:r>
          </w:p>
        </w:tc>
        <w:tc>
          <w:tcPr>
            <w:tcW w:w="320" w:type="dxa"/>
            <w:vAlign w:val="bottom"/>
          </w:tcPr>
          <w:p>
            <w:pPr>
              <w:spacing w:after="0"/>
              <w:rPr>
                <w:sz w:val="12"/>
                <w:szCs w:val="12"/>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r>
      <w:tr>
        <w:trPr>
          <w:trHeight w:val="61"/>
        </w:trPr>
        <w:tc>
          <w:tcPr>
            <w:tcW w:w="6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SUPPLEMENTAL INFORMATION:</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6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paid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7,008</w:t>
            </w:r>
          </w:p>
        </w:tc>
        <w:tc>
          <w:tcPr>
            <w:tcW w:w="320" w:type="dxa"/>
            <w:vAlign w:val="bottom"/>
            <w:shd w:val="clear" w:color="auto" w:fill="CCEEFF"/>
          </w:tcPr>
          <w:p>
            <w:pPr>
              <w:spacing w:after="0"/>
              <w:rPr>
                <w:sz w:val="14"/>
                <w:szCs w:val="14"/>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Income taxes paid</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66,329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138,420</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INVESTING ACTIVITIES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1,915</w:t>
            </w:r>
          </w:p>
        </w:tc>
        <w:tc>
          <w:tcPr>
            <w:tcW w:w="100" w:type="dxa"/>
            <w:vAlign w:val="bottom"/>
          </w:tcPr>
          <w:p>
            <w:pPr>
              <w:spacing w:after="0"/>
              <w:rPr>
                <w:sz w:val="12"/>
                <w:szCs w:val="12"/>
                <w:color w:val="auto"/>
              </w:rPr>
            </w:pP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2,856</w:t>
            </w:r>
          </w:p>
        </w:tc>
        <w:tc>
          <w:tcPr>
            <w:tcW w:w="32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FINANCING ACTIVITIES: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82"/>
        </w:trPr>
        <w:tc>
          <w:tcPr>
            <w:tcW w:w="6660" w:type="dxa"/>
            <w:vAlign w:val="bottom"/>
          </w:tcPr>
          <w:p>
            <w:pPr>
              <w:ind w:left="120"/>
              <w:spacing w:after="0"/>
              <w:rPr>
                <w:sz w:val="20"/>
                <w:szCs w:val="20"/>
                <w:color w:val="auto"/>
              </w:rPr>
            </w:pPr>
            <w:r>
              <w:rPr>
                <w:rFonts w:ascii="Arial" w:cs="Arial" w:eastAsia="Arial" w:hAnsi="Arial"/>
                <w:sz w:val="14"/>
                <w:szCs w:val="14"/>
                <w:color w:val="auto"/>
              </w:rPr>
              <w:t>Common stock issued under deferred compensation plans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8,929</w:t>
            </w:r>
          </w:p>
        </w:tc>
        <w:tc>
          <w:tcPr>
            <w:tcW w:w="100" w:type="dxa"/>
            <w:vAlign w:val="bottom"/>
          </w:tcPr>
          <w:p>
            <w:pPr>
              <w:spacing w:after="0"/>
              <w:rPr>
                <w:sz w:val="15"/>
                <w:szCs w:val="15"/>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7,563</w:t>
            </w:r>
          </w:p>
        </w:tc>
        <w:tc>
          <w:tcPr>
            <w:tcW w:w="320" w:type="dxa"/>
            <w:vAlign w:val="bottom"/>
          </w:tcPr>
          <w:p>
            <w:pPr>
              <w:spacing w:after="0"/>
              <w:rPr>
                <w:sz w:val="15"/>
                <w:szCs w:val="15"/>
                <w:color w:val="auto"/>
              </w:rPr>
            </w:pPr>
          </w:p>
        </w:tc>
      </w:tr>
    </w:tbl>
    <w:p>
      <w:pPr>
        <w:spacing w:after="0" w:line="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78"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2" w:lineRule="exact"/>
        <w:rPr>
          <w:sz w:val="20"/>
          <w:szCs w:val="20"/>
          <w:color w:val="auto"/>
        </w:rPr>
      </w:pPr>
    </w:p>
    <w:p>
      <w:pPr>
        <w:jc w:val="both"/>
        <w:ind w:left="60" w:right="59" w:hanging="10"/>
        <w:spacing w:after="0" w:line="302"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5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31, 2022.</w:t>
      </w:r>
    </w:p>
    <w:p>
      <w:pPr>
        <w:spacing w:after="0" w:line="18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25, 2022 balances in the accompanying unaudited condensed consolidated balance sheets.</w:t>
      </w:r>
    </w:p>
    <w:p>
      <w:pPr>
        <w:spacing w:after="0" w:line="18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The ASU requires that an acquirer recognize and measure contract assets and contract liabilities in a business combination in accordance with Topic 606. The ASU is effective for fiscal years beginning after December 15, 2022, including interim periods within those fiscal years and is being applied prospectively to all business combinations occurring after this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8"/>
              <w:spacing w:after="0"/>
              <w:rPr>
                <w:sz w:val="20"/>
                <w:szCs w:val="20"/>
                <w:color w:val="auto"/>
              </w:rPr>
            </w:pPr>
            <w:r>
              <w:rPr>
                <w:rFonts w:ascii="Arial" w:cs="Arial" w:eastAsia="Arial" w:hAnsi="Arial"/>
                <w:sz w:val="14"/>
                <w:szCs w:val="14"/>
                <w:b w:val="1"/>
                <w:bCs w:val="1"/>
                <w:color w:val="auto"/>
                <w:w w:val="91"/>
              </w:rPr>
              <w:t>July 1, 2023</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25, 2022</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7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Prices with</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Prices with</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7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Money market 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$ 431,829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$ 436,263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760" w:type="dxa"/>
            <w:vAlign w:val="bottom"/>
          </w:tcPr>
          <w:p>
            <w:pPr>
              <w:jc w:val="right"/>
              <w:spacing w:after="0"/>
              <w:rPr>
                <w:sz w:val="20"/>
                <w:szCs w:val="20"/>
                <w:color w:val="auto"/>
              </w:rPr>
            </w:pPr>
            <w:r>
              <w:rPr>
                <w:rFonts w:ascii="Arial" w:cs="Arial" w:eastAsia="Arial" w:hAnsi="Arial"/>
                <w:sz w:val="17"/>
                <w:szCs w:val="17"/>
                <w:color w:val="auto"/>
              </w:rPr>
              <w:t>3,791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18,195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21,986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16,654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19,338</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760" w:type="dxa"/>
            <w:vAlign w:val="bottom"/>
          </w:tcPr>
          <w:p>
            <w:pPr>
              <w:jc w:val="right"/>
              <w:spacing w:after="0"/>
              <w:rPr>
                <w:sz w:val="20"/>
                <w:szCs w:val="20"/>
                <w:color w:val="auto"/>
              </w:rPr>
            </w:pPr>
            <w:r>
              <w:rPr>
                <w:rFonts w:ascii="Arial" w:cs="Arial" w:eastAsia="Arial" w:hAnsi="Arial"/>
                <w:sz w:val="17"/>
                <w:szCs w:val="17"/>
                <w:color w:val="auto"/>
              </w:rPr>
              <w:t>17,224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17,224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17,249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17,249</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Domestic stock</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12,723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12,723</w:t>
            </w:r>
          </w:p>
        </w:tc>
        <w:tc>
          <w:tcPr>
            <w:tcW w:w="0" w:type="dxa"/>
            <w:vAlign w:val="bottom"/>
          </w:tcPr>
          <w:p>
            <w:pPr>
              <w:spacing w:after="0"/>
              <w:rPr>
                <w:sz w:val="1"/>
                <w:szCs w:val="1"/>
                <w:color w:val="auto"/>
              </w:rPr>
            </w:pPr>
          </w:p>
        </w:tc>
      </w:tr>
      <w:tr>
        <w:trPr>
          <w:trHeight w:val="185"/>
        </w:trPr>
        <w:tc>
          <w:tcPr>
            <w:tcW w:w="1580" w:type="dxa"/>
            <w:vAlign w:val="bottom"/>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80" w:type="dxa"/>
            <w:vAlign w:val="bottom"/>
          </w:tcPr>
          <w:p>
            <w:pPr>
              <w:ind w:left="120"/>
              <w:spacing w:after="0"/>
              <w:rPr>
                <w:sz w:val="20"/>
                <w:szCs w:val="20"/>
                <w:color w:val="auto"/>
              </w:rPr>
            </w:pPr>
            <w:r>
              <w:rPr>
                <w:rFonts w:ascii="Arial" w:cs="Arial" w:eastAsia="Arial" w:hAnsi="Arial"/>
                <w:sz w:val="17"/>
                <w:szCs w:val="17"/>
                <w:color w:val="auto"/>
              </w:rPr>
              <w:t>funds</w:t>
            </w:r>
          </w:p>
        </w:tc>
        <w:tc>
          <w:tcPr>
            <w:tcW w:w="760" w:type="dxa"/>
            <w:vAlign w:val="bottom"/>
          </w:tcPr>
          <w:p>
            <w:pPr>
              <w:jc w:val="right"/>
              <w:spacing w:after="0"/>
              <w:rPr>
                <w:sz w:val="20"/>
                <w:szCs w:val="20"/>
                <w:color w:val="auto"/>
              </w:rPr>
            </w:pPr>
            <w:r>
              <w:rPr>
                <w:rFonts w:ascii="Arial" w:cs="Arial" w:eastAsia="Arial" w:hAnsi="Arial"/>
                <w:sz w:val="17"/>
                <w:szCs w:val="17"/>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04"/>
        </w:trPr>
        <w:tc>
          <w:tcPr>
            <w:tcW w:w="1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3"/>
        </w:trPr>
        <w:tc>
          <w:tcPr>
            <w:tcW w:w="158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760" w:type="dxa"/>
            <w:vAlign w:val="bottom"/>
          </w:tcPr>
          <w:p>
            <w:pPr>
              <w:jc w:val="right"/>
              <w:spacing w:after="0"/>
              <w:rPr>
                <w:sz w:val="20"/>
                <w:szCs w:val="20"/>
                <w:color w:val="auto"/>
              </w:rPr>
            </w:pPr>
            <w:r>
              <w:rPr>
                <w:rFonts w:ascii="Arial" w:cs="Arial" w:eastAsia="Arial" w:hAnsi="Arial"/>
                <w:sz w:val="17"/>
                <w:szCs w:val="17"/>
                <w:color w:val="auto"/>
              </w:rPr>
              <w:t>5,288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5,288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Alternative 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bottom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mutual funds</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17,686</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17,686</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14,766</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14,766</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$ 470,873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22,629</w:t>
            </w:r>
          </w:p>
        </w:tc>
        <w:tc>
          <w:tcPr>
            <w:tcW w:w="24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$ 497,578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35,060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20,824</w:t>
            </w:r>
          </w:p>
        </w:tc>
        <w:tc>
          <w:tcPr>
            <w:tcW w:w="22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59,963</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From the assets measured at fair value as of July 1, 2023, listed in the table above, $435.8 million of money market funds are held in Cash and Cash Equivalents, $38.5 million of mutual funds, equity securities, and alternative investments are held in Investments, $0.5 million of money market and mutual funds are held in Other Assets for our deferred compensation plan, and $22.3 million of fixed income funds and $0.5 million of money market funds are held in Restricted Investments. As of June 25, 2022, $35.5 million of mutual funds, equity securities, and alternative investments were held in Investments, $4.0 million of money market funds were held in Cash and Cash Equivalents, $0.6 million of money market and mutual funds were held in Other Assets for our deferred compensation plan, and $19.7 million of fixed income funds and $0.2 million of money market funds were held in Restricted Investments.</w:t>
      </w:r>
    </w:p>
    <w:p>
      <w:pPr>
        <w:spacing w:after="0" w:line="17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$60.8 million and $55.2 million as of July 1, 2023 and June 25, 2022, respectively, which has been included in the aforementioned table of total investments. This portfolio consists of domestic and international equity securities, alternative investments, and fixed income bonds.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100"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July 1, 2023</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25, 2022</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0"/>
                <w:szCs w:val="10"/>
                <w:color w:val="auto"/>
              </w:rPr>
            </w:pPr>
          </w:p>
        </w:tc>
        <w:tc>
          <w:tcPr>
            <w:tcW w:w="82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0"/>
                <w:szCs w:val="10"/>
                <w:color w:val="auto"/>
              </w:rPr>
            </w:pPr>
          </w:p>
        </w:tc>
        <w:tc>
          <w:tcPr>
            <w:tcW w:w="7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82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Unrealized</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 (Loss)</w:t>
            </w:r>
          </w:p>
        </w:tc>
        <w:tc>
          <w:tcPr>
            <w:tcW w:w="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Gain (Loss)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24,080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21,986</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19,338</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17,249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17,159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14,147</w:t>
            </w:r>
          </w:p>
        </w:tc>
        <w:tc>
          <w:tcPr>
            <w:tcW w:w="0" w:type="dxa"/>
            <w:vAlign w:val="bottom"/>
          </w:tcPr>
          <w:p>
            <w:pPr>
              <w:spacing w:after="0"/>
              <w:rPr>
                <w:sz w:val="1"/>
                <w:szCs w:val="1"/>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investments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57,978</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2,810</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60,788</w:t>
            </w: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$ 53,343</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1,812</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55,155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00" w:firstLine="492"/>
        <w:spacing w:after="0" w:line="254"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$2.8 million and $1.8 million as of July 1, 2023 and June 25, 2022, respectively. Carrying amounts above are recorded in the investments and restricted investments line items within the balance sheet as of July 1, 2023 and June 25, 2022.</w:t>
      </w:r>
    </w:p>
    <w:p>
      <w:pPr>
        <w:spacing w:after="0" w:line="191"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100" w:firstLine="492"/>
        <w:spacing w:after="0" w:line="271" w:lineRule="auto"/>
        <w:rPr>
          <w:sz w:val="20"/>
          <w:szCs w:val="20"/>
          <w:color w:val="auto"/>
        </w:rPr>
      </w:pPr>
      <w:r>
        <w:rPr>
          <w:rFonts w:ascii="Arial" w:cs="Arial" w:eastAsia="Arial" w:hAnsi="Arial"/>
          <w:sz w:val="17"/>
          <w:szCs w:val="17"/>
          <w:color w:val="auto"/>
        </w:rPr>
        <w:t>Within the three primary segments, UFP Retail Solutions (“Retail”), UFP Packaging (“Packaging” and formerly known as UFP Industrial)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8" w:lineRule="exact"/>
        <w:rPr>
          <w:sz w:val="20"/>
          <w:szCs w:val="20"/>
          <w:color w:val="auto"/>
        </w:rPr>
      </w:pPr>
    </w:p>
    <w:p>
      <w:pPr>
        <w:jc w:val="both"/>
        <w:ind w:left="60" w:right="100" w:firstLine="492"/>
        <w:spacing w:after="0" w:line="286" w:lineRule="auto"/>
        <w:rPr>
          <w:sz w:val="20"/>
          <w:szCs w:val="20"/>
          <w:color w:val="auto"/>
        </w:rPr>
      </w:pPr>
      <w:r>
        <w:rPr>
          <w:rFonts w:ascii="Arial" w:cs="Arial" w:eastAsia="Arial" w:hAnsi="Arial"/>
          <w:sz w:val="17"/>
          <w:szCs w:val="17"/>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65" w:lineRule="exact"/>
        <w:rPr>
          <w:sz w:val="20"/>
          <w:szCs w:val="20"/>
          <w:color w:val="auto"/>
        </w:rPr>
      </w:pPr>
    </w:p>
    <w:p>
      <w:pPr>
        <w:jc w:val="both"/>
        <w:ind w:left="60" w:right="100" w:firstLine="492"/>
        <w:spacing w:after="0" w:line="296" w:lineRule="auto"/>
        <w:rPr>
          <w:sz w:val="20"/>
          <w:szCs w:val="20"/>
          <w:color w:val="auto"/>
        </w:rPr>
      </w:pPr>
      <w:r>
        <w:rPr>
          <w:rFonts w:ascii="Arial" w:cs="Arial" w:eastAsia="Arial" w:hAnsi="Arial"/>
          <w:sz w:val="16"/>
          <w:szCs w:val="16"/>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44" w:right="139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Borders>
              <w:bottom w:val="single" w:sz="8" w:color="auto"/>
            </w:tcBorders>
          </w:tcPr>
          <w:p>
            <w:pPr>
              <w:spacing w:after="0"/>
              <w:rPr>
                <w:sz w:val="15"/>
                <w:szCs w:val="15"/>
                <w:color w:val="auto"/>
              </w:rPr>
            </w:pPr>
          </w:p>
        </w:tc>
      </w:tr>
      <w:tr>
        <w:trPr>
          <w:trHeight w:val="218"/>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w:t>
            </w:r>
          </w:p>
        </w:tc>
        <w:tc>
          <w:tcPr>
            <w:tcW w:w="860" w:type="dxa"/>
            <w:vAlign w:val="bottom"/>
          </w:tcPr>
          <w:p>
            <w:pPr>
              <w:spacing w:after="0"/>
              <w:rPr>
                <w:sz w:val="18"/>
                <w:szCs w:val="18"/>
                <w:color w:val="auto"/>
              </w:rPr>
            </w:pPr>
          </w:p>
        </w:tc>
      </w:tr>
      <w:tr>
        <w:trPr>
          <w:trHeight w:val="19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Arial" w:cs="Arial" w:eastAsia="Arial" w:hAnsi="Arial"/>
                <w:sz w:val="14"/>
                <w:szCs w:val="14"/>
                <w:b w:val="1"/>
                <w:bCs w:val="1"/>
                <w:color w:val="auto"/>
              </w:rPr>
              <w:t>% Change</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2,006,319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2,850,409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3,790,775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5,300,690</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Over Time Revenue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50,465</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89,497</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2,043,918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2,900,874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3,866,394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5,390,187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25,</w:t>
            </w:r>
          </w:p>
        </w:tc>
      </w:tr>
      <w:tr>
        <w:trPr>
          <w:trHeight w:val="178"/>
        </w:trPr>
        <w:tc>
          <w:tcPr>
            <w:tcW w:w="59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and Earnings in Excess of Billings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200" w:type="dxa"/>
            <w:vAlign w:val="bottom"/>
            <w:shd w:val="clear" w:color="auto" w:fill="CCEEFF"/>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Billings in Excess of Cost and Earnings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10,046</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5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54"/>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3"/>
              <w:spacing w:after="0" w:line="126"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150,761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203,118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276,830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392,821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 for earnings allocated to non-vested restricted</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(8,270)</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8"/>
              </w:rPr>
              <w:t>(13,096)</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(15,045)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equivalents</w:t>
            </w: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143,173</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194,848</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263,734</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377,776</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Adjustment for non-vested restricted common stock equivalents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59,626</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60,211</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59,787</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60,480</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 equivalents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Shares for calculating diluted EPS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share: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0" w:hanging="490"/>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addition, on July 1, 2023,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July 1, 2023, we had outstanding purchase commitments on commenced capital projects of approximately $66.4 million.</w:t>
      </w:r>
    </w:p>
    <w:p>
      <w:pPr>
        <w:spacing w:after="0" w:line="17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71"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July 1, 2023, we had approximately $13.2 million in outstanding payment and performance bonds for open projects. We had approximately $13.0 million in payment and performance bonds outstanding for completed projects which are still under warranty.</w:t>
      </w:r>
    </w:p>
    <w:p>
      <w:pPr>
        <w:spacing w:after="0" w:line="164"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color w:val="auto"/>
        </w:rPr>
        <w:t>On July 1, 2023, we had outstanding letters of credit totaling $54.1 million, primarily related to certain insurance contracts, industrial development revenue bonds, and other debt agreements described further below.</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lieu of cash deposits, we provide irrevocable letters of credit in favor of our insurers and other third parties to guarantee our performance under certain insurance contracts and other legal agreements. As of July 1, 2023, we have irrevocable letters of credit outstanding totaling approximately $50.8 million for these types of arrangements. We have reserves recorded on our balance sheet, in accrued liabilities, that reflect our expected future liabilities under those insurance arrangements.</w:t>
      </w:r>
    </w:p>
    <w:p>
      <w:pPr>
        <w:spacing w:after="0" w:line="18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2023 which would require us to recognize a liability on our balance sheet.</w:t>
      </w:r>
    </w:p>
    <w:p>
      <w:pPr>
        <w:spacing w:after="0" w:line="382" w:lineRule="exact"/>
        <w:rPr>
          <w:sz w:val="20"/>
          <w:szCs w:val="20"/>
          <w:color w:val="auto"/>
        </w:rPr>
      </w:pPr>
    </w:p>
    <w:p>
      <w:pPr>
        <w:ind w:left="500" w:hanging="450"/>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EQUITY METHOD INVESTMENTS</w:t>
      </w:r>
    </w:p>
    <w:p>
      <w:pPr>
        <w:spacing w:after="0" w:line="121"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completed the following acquisitions since the end of the second quarter of 2022, which were accounted for using the purchase or equity method. Dollars below are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Net</w:t>
            </w: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Acquisition</w:t>
            </w:r>
          </w:p>
        </w:tc>
        <w:tc>
          <w:tcPr>
            <w:tcW w:w="17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Tangible</w:t>
            </w:r>
          </w:p>
        </w:tc>
        <w:tc>
          <w:tcPr>
            <w:tcW w:w="40" w:type="dxa"/>
            <w:vAlign w:val="bottom"/>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3"/>
              </w:rPr>
              <w:t>Assets</w:t>
            </w: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December 6, 2022</w:t>
            </w:r>
          </w:p>
        </w:tc>
        <w:tc>
          <w:tcPr>
            <w:tcW w:w="17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$70,942 cash paid for</w:t>
            </w:r>
          </w:p>
        </w:tc>
        <w:tc>
          <w:tcPr>
            <w:tcW w:w="140" w:type="dxa"/>
            <w:vAlign w:val="bottom"/>
            <w:vMerge w:val="restart"/>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6"/>
                <w:szCs w:val="16"/>
                <w:color w:val="auto"/>
              </w:rPr>
              <w:t>48,745</w:t>
            </w:r>
          </w:p>
        </w:tc>
        <w:tc>
          <w:tcPr>
            <w:tcW w:w="160" w:type="dxa"/>
            <w:vAlign w:val="bottom"/>
            <w:vMerge w:val="restart"/>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vMerge w:val="restart"/>
            <w:shd w:val="clear" w:color="auto" w:fill="CCEBFF"/>
          </w:tcPr>
          <w:p>
            <w:pPr>
              <w:jc w:val="right"/>
              <w:spacing w:after="0"/>
              <w:rPr>
                <w:sz w:val="20"/>
                <w:szCs w:val="20"/>
                <w:color w:val="auto"/>
              </w:rPr>
            </w:pPr>
            <w:r>
              <w:rPr>
                <w:rFonts w:ascii="Arial" w:cs="Arial" w:eastAsia="Arial" w:hAnsi="Arial"/>
                <w:sz w:val="16"/>
                <w:szCs w:val="16"/>
                <w:color w:val="auto"/>
              </w:rPr>
              <w:t>22,197</w:t>
            </w:r>
          </w:p>
        </w:tc>
        <w:tc>
          <w:tcPr>
            <w:tcW w:w="40" w:type="dxa"/>
            <w:vAlign w:val="bottom"/>
            <w:shd w:val="clear" w:color="auto" w:fill="CCEBFF"/>
          </w:tcPr>
          <w:p>
            <w:pPr>
              <w:spacing w:after="0"/>
              <w:rPr>
                <w:sz w:val="16"/>
                <w:szCs w:val="16"/>
                <w:color w:val="auto"/>
              </w:rPr>
            </w:pPr>
          </w:p>
        </w:tc>
        <w:tc>
          <w:tcPr>
            <w:tcW w:w="80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0"/>
              </w:rPr>
              <w:t>Packaging</w:t>
            </w:r>
          </w:p>
        </w:tc>
        <w:tc>
          <w:tcPr>
            <w:tcW w:w="0" w:type="dxa"/>
            <w:vAlign w:val="bottom"/>
          </w:tcPr>
          <w:p>
            <w:pPr>
              <w:spacing w:after="0"/>
              <w:rPr>
                <w:sz w:val="1"/>
                <w:szCs w:val="1"/>
                <w:color w:val="auto"/>
              </w:rPr>
            </w:pPr>
          </w:p>
        </w:tc>
      </w:tr>
      <w:tr>
        <w:trPr>
          <w:trHeight w:val="112"/>
        </w:trPr>
        <w:tc>
          <w:tcPr>
            <w:tcW w:w="2560" w:type="dxa"/>
            <w:vAlign w:val="bottom"/>
            <w:tcBorders>
              <w:left w:val="single" w:sz="8" w:color="auto"/>
              <w:right w:val="single" w:sz="8" w:color="auto"/>
            </w:tcBorders>
            <w:shd w:val="clear" w:color="auto" w:fill="CCEBFF"/>
          </w:tcPr>
          <w:p>
            <w:pPr>
              <w:spacing w:after="0"/>
              <w:rPr>
                <w:sz w:val="9"/>
                <w:szCs w:val="9"/>
                <w:color w:val="auto"/>
              </w:rPr>
            </w:pPr>
          </w:p>
        </w:tc>
        <w:tc>
          <w:tcPr>
            <w:tcW w:w="1460" w:type="dxa"/>
            <w:vAlign w:val="bottom"/>
            <w:tcBorders>
              <w:right w:val="single" w:sz="8" w:color="auto"/>
            </w:tcBorders>
            <w:vMerge w:val="continue"/>
            <w:shd w:val="clear" w:color="auto" w:fill="CCEBFF"/>
          </w:tcPr>
          <w:p>
            <w:pPr>
              <w:spacing w:after="0"/>
              <w:rPr>
                <w:sz w:val="9"/>
                <w:szCs w:val="9"/>
                <w:color w:val="auto"/>
              </w:rPr>
            </w:pPr>
          </w:p>
        </w:tc>
        <w:tc>
          <w:tcPr>
            <w:tcW w:w="1740" w:type="dxa"/>
            <w:vAlign w:val="bottom"/>
            <w:tcBorders>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88"/>
              </w:rPr>
              <w:t>100% asset purchase</w:t>
            </w:r>
          </w:p>
        </w:tc>
        <w:tc>
          <w:tcPr>
            <w:tcW w:w="140" w:type="dxa"/>
            <w:vAlign w:val="bottom"/>
            <w:vMerge w:val="continue"/>
            <w:shd w:val="clear" w:color="auto" w:fill="CCEBFF"/>
          </w:tcPr>
          <w:p>
            <w:pPr>
              <w:spacing w:after="0"/>
              <w:rPr>
                <w:sz w:val="9"/>
                <w:szCs w:val="9"/>
                <w:color w:val="auto"/>
              </w:rPr>
            </w:pPr>
          </w:p>
        </w:tc>
        <w:tc>
          <w:tcPr>
            <w:tcW w:w="1040" w:type="dxa"/>
            <w:vAlign w:val="bottom"/>
            <w:tcBorders>
              <w:right w:val="single" w:sz="8" w:color="auto"/>
            </w:tcBorders>
            <w:vMerge w:val="continue"/>
            <w:shd w:val="clear" w:color="auto" w:fill="CCEBFF"/>
          </w:tcPr>
          <w:p>
            <w:pPr>
              <w:spacing w:after="0"/>
              <w:rPr>
                <w:sz w:val="9"/>
                <w:szCs w:val="9"/>
                <w:color w:val="auto"/>
              </w:rPr>
            </w:pPr>
          </w:p>
        </w:tc>
        <w:tc>
          <w:tcPr>
            <w:tcW w:w="160" w:type="dxa"/>
            <w:vAlign w:val="bottom"/>
            <w:vMerge w:val="continue"/>
            <w:shd w:val="clear" w:color="auto" w:fill="CCEBFF"/>
          </w:tcPr>
          <w:p>
            <w:pPr>
              <w:spacing w:after="0"/>
              <w:rPr>
                <w:sz w:val="9"/>
                <w:szCs w:val="9"/>
                <w:color w:val="auto"/>
              </w:rPr>
            </w:pPr>
          </w:p>
        </w:tc>
        <w:tc>
          <w:tcPr>
            <w:tcW w:w="980" w:type="dxa"/>
            <w:vAlign w:val="bottom"/>
            <w:tcBorders>
              <w:right w:val="single" w:sz="8" w:color="auto"/>
            </w:tcBorders>
            <w:vMerge w:val="continue"/>
            <w:shd w:val="clear" w:color="auto" w:fill="CCEBFF"/>
          </w:tcPr>
          <w:p>
            <w:pPr>
              <w:spacing w:after="0"/>
              <w:rPr>
                <w:sz w:val="9"/>
                <w:szCs w:val="9"/>
                <w:color w:val="auto"/>
              </w:rPr>
            </w:pPr>
          </w:p>
        </w:tc>
        <w:tc>
          <w:tcPr>
            <w:tcW w:w="40" w:type="dxa"/>
            <w:vAlign w:val="bottom"/>
            <w:shd w:val="clear" w:color="auto" w:fill="CCEBFF"/>
          </w:tcPr>
          <w:p>
            <w:pPr>
              <w:spacing w:after="0"/>
              <w:rPr>
                <w:sz w:val="9"/>
                <w:szCs w:val="9"/>
                <w:color w:val="auto"/>
              </w:rPr>
            </w:pPr>
          </w:p>
        </w:tc>
        <w:tc>
          <w:tcPr>
            <w:tcW w:w="800" w:type="dxa"/>
            <w:vAlign w:val="bottom"/>
            <w:tcBorders>
              <w:right w:val="single" w:sz="8" w:color="auto"/>
            </w:tcBorders>
            <w:vMerge w:val="continue"/>
            <w:shd w:val="clear" w:color="auto" w:fill="CCEB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560" w:type="dxa"/>
            <w:vAlign w:val="bottom"/>
            <w:tcBorders>
              <w:left w:val="single" w:sz="8" w:color="auto"/>
              <w:bottom w:val="single" w:sz="8" w:color="CCEBFF"/>
              <w:right w:val="single" w:sz="8" w:color="auto"/>
            </w:tcBorders>
            <w:shd w:val="clear" w:color="auto" w:fill="CCEBFF"/>
          </w:tcPr>
          <w:p>
            <w:pPr>
              <w:spacing w:after="0"/>
              <w:rPr>
                <w:sz w:val="8"/>
                <w:szCs w:val="8"/>
                <w:color w:val="auto"/>
              </w:rPr>
            </w:pPr>
          </w:p>
        </w:tc>
        <w:tc>
          <w:tcPr>
            <w:tcW w:w="1460" w:type="dxa"/>
            <w:vAlign w:val="bottom"/>
            <w:tcBorders>
              <w:bottom w:val="single" w:sz="8" w:color="auto"/>
              <w:right w:val="single" w:sz="8" w:color="auto"/>
            </w:tcBorders>
            <w:shd w:val="clear" w:color="auto" w:fill="CCEBFF"/>
          </w:tcPr>
          <w:p>
            <w:pPr>
              <w:spacing w:after="0"/>
              <w:rPr>
                <w:sz w:val="8"/>
                <w:szCs w:val="8"/>
                <w:color w:val="auto"/>
              </w:rPr>
            </w:pPr>
          </w:p>
        </w:tc>
        <w:tc>
          <w:tcPr>
            <w:tcW w:w="1740" w:type="dxa"/>
            <w:vAlign w:val="bottom"/>
            <w:tcBorders>
              <w:bottom w:val="single" w:sz="8" w:color="auto"/>
              <w:right w:val="single" w:sz="8" w:color="auto"/>
            </w:tcBorders>
            <w:vMerge w:val="continue"/>
            <w:shd w:val="clear" w:color="auto" w:fill="CCEBFF"/>
          </w:tcPr>
          <w:p>
            <w:pPr>
              <w:spacing w:after="0"/>
              <w:rPr>
                <w:sz w:val="8"/>
                <w:szCs w:val="8"/>
                <w:color w:val="auto"/>
              </w:rPr>
            </w:pPr>
          </w:p>
        </w:tc>
        <w:tc>
          <w:tcPr>
            <w:tcW w:w="140" w:type="dxa"/>
            <w:vAlign w:val="bottom"/>
            <w:tcBorders>
              <w:bottom w:val="single" w:sz="8" w:color="auto"/>
            </w:tcBorders>
            <w:shd w:val="clear" w:color="auto" w:fill="CCEBFF"/>
          </w:tcPr>
          <w:p>
            <w:pPr>
              <w:spacing w:after="0"/>
              <w:rPr>
                <w:sz w:val="8"/>
                <w:szCs w:val="8"/>
                <w:color w:val="auto"/>
              </w:rPr>
            </w:pPr>
          </w:p>
        </w:tc>
        <w:tc>
          <w:tcPr>
            <w:tcW w:w="1040" w:type="dxa"/>
            <w:vAlign w:val="bottom"/>
            <w:tcBorders>
              <w:bottom w:val="single" w:sz="8" w:color="auto"/>
              <w:right w:val="single" w:sz="8" w:color="auto"/>
            </w:tcBorders>
            <w:shd w:val="clear" w:color="auto" w:fill="CCEBFF"/>
          </w:tcPr>
          <w:p>
            <w:pPr>
              <w:spacing w:after="0"/>
              <w:rPr>
                <w:sz w:val="8"/>
                <w:szCs w:val="8"/>
                <w:color w:val="auto"/>
              </w:rPr>
            </w:pPr>
          </w:p>
        </w:tc>
        <w:tc>
          <w:tcPr>
            <w:tcW w:w="160" w:type="dxa"/>
            <w:vAlign w:val="bottom"/>
            <w:tcBorders>
              <w:bottom w:val="single" w:sz="8" w:color="auto"/>
            </w:tcBorders>
            <w:shd w:val="clear" w:color="auto" w:fill="CCEBFF"/>
          </w:tcPr>
          <w:p>
            <w:pPr>
              <w:spacing w:after="0"/>
              <w:rPr>
                <w:sz w:val="8"/>
                <w:szCs w:val="8"/>
                <w:color w:val="auto"/>
              </w:rPr>
            </w:pPr>
          </w:p>
        </w:tc>
        <w:tc>
          <w:tcPr>
            <w:tcW w:w="980" w:type="dxa"/>
            <w:vAlign w:val="bottom"/>
            <w:tcBorders>
              <w:bottom w:val="single" w:sz="8" w:color="auto"/>
              <w:right w:val="single" w:sz="8" w:color="auto"/>
            </w:tcBorders>
            <w:shd w:val="clear" w:color="auto" w:fill="CCEBFF"/>
          </w:tcPr>
          <w:p>
            <w:pPr>
              <w:spacing w:after="0"/>
              <w:rPr>
                <w:sz w:val="8"/>
                <w:szCs w:val="8"/>
                <w:color w:val="auto"/>
              </w:rPr>
            </w:pPr>
          </w:p>
        </w:tc>
        <w:tc>
          <w:tcPr>
            <w:tcW w:w="40" w:type="dxa"/>
            <w:vAlign w:val="bottom"/>
            <w:tcBorders>
              <w:bottom w:val="single" w:sz="8" w:color="auto"/>
            </w:tcBorders>
            <w:shd w:val="clear" w:color="auto" w:fill="CCEBFF"/>
          </w:tcPr>
          <w:p>
            <w:pPr>
              <w:spacing w:after="0"/>
              <w:rPr>
                <w:sz w:val="8"/>
                <w:szCs w:val="8"/>
                <w:color w:val="auto"/>
              </w:rPr>
            </w:pPr>
          </w:p>
        </w:tc>
        <w:tc>
          <w:tcPr>
            <w:tcW w:w="800" w:type="dxa"/>
            <w:vAlign w:val="bottom"/>
            <w:tcBorders>
              <w:bottom w:val="single" w:sz="8" w:color="auto"/>
              <w:right w:val="single" w:sz="8" w:color="auto"/>
            </w:tcBorders>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Titan Corrugated, Inc. (Titan) and All</w:t>
            </w: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2"/>
              </w:rPr>
              <w:t>Located in Flower Mound, TX and founded in 2003, Titan’s primary products include boxes used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Boxed Up, LLC</w:t>
            </w: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3"/>
              </w:rPr>
              <w:t>in moving and storage, jumbo boxes for industrial products, corrugated shipping containers,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4"/>
              </w:rPr>
              <w:t>point-of-purchase displays. All Boxed Up distributes common box sizes manufactured by Titan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8"/>
            <w:shd w:val="clear" w:color="auto" w:fill="CCEBFF"/>
          </w:tcPr>
          <w:p>
            <w:pPr>
              <w:spacing w:after="0"/>
              <w:rPr>
                <w:sz w:val="20"/>
                <w:szCs w:val="20"/>
                <w:color w:val="auto"/>
              </w:rPr>
            </w:pPr>
            <w:r>
              <w:rPr>
                <w:rFonts w:ascii="Arial" w:cs="Arial" w:eastAsia="Arial" w:hAnsi="Arial"/>
                <w:sz w:val="16"/>
                <w:szCs w:val="16"/>
                <w:color w:val="auto"/>
                <w:w w:val="97"/>
              </w:rPr>
              <w:t>throughout the United States. The combined companies had trailing 12-month sales through</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0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Arial" w:cs="Arial" w:eastAsia="Arial" w:hAnsi="Arial"/>
                <w:sz w:val="16"/>
                <w:szCs w:val="16"/>
                <w:color w:val="auto"/>
                <w:w w:val="99"/>
              </w:rPr>
              <w:t>October 2022 of approximately $46.5 million.</w:t>
            </w:r>
          </w:p>
        </w:tc>
        <w:tc>
          <w:tcPr>
            <w:tcW w:w="140" w:type="dxa"/>
            <w:vAlign w:val="bottom"/>
            <w:tcBorders>
              <w:bottom w:val="single" w:sz="8" w:color="auto"/>
            </w:tcBorders>
            <w:shd w:val="clear" w:color="auto" w:fill="CCEBFF"/>
          </w:tcPr>
          <w:p>
            <w:pPr>
              <w:spacing w:after="0"/>
              <w:rPr>
                <w:sz w:val="19"/>
                <w:szCs w:val="19"/>
                <w:color w:val="auto"/>
              </w:rPr>
            </w:pPr>
          </w:p>
        </w:tc>
        <w:tc>
          <w:tcPr>
            <w:tcW w:w="104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40" w:type="dxa"/>
            <w:vAlign w:val="bottom"/>
            <w:tcBorders>
              <w:bottom w:val="single" w:sz="8" w:color="auto"/>
            </w:tcBorders>
            <w:shd w:val="clear" w:color="auto" w:fill="CCEBFF"/>
          </w:tcPr>
          <w:p>
            <w:pPr>
              <w:spacing w:after="0"/>
              <w:rPr>
                <w:sz w:val="19"/>
                <w:szCs w:val="19"/>
                <w:color w:val="auto"/>
              </w:rPr>
            </w:pPr>
          </w:p>
        </w:tc>
        <w:tc>
          <w:tcPr>
            <w:tcW w:w="80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June 27, 2022</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$69,791 cash paid for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34,552</w:t>
            </w: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35,239</w:t>
            </w:r>
          </w:p>
        </w:tc>
        <w:tc>
          <w:tcPr>
            <w:tcW w:w="40" w:type="dxa"/>
            <w:vAlign w:val="bottom"/>
          </w:tcPr>
          <w:p>
            <w:pPr>
              <w:spacing w:after="0"/>
              <w:rPr>
                <w:sz w:val="16"/>
                <w:szCs w:val="1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Packaging</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vMerge w:val="continue"/>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equity method investment</w:t>
            </w: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560" w:type="dxa"/>
            <w:vAlign w:val="bottom"/>
            <w:tcBorders>
              <w:left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Dempsey Wood Products, Inc.</w:t>
            </w:r>
          </w:p>
        </w:tc>
        <w:tc>
          <w:tcPr>
            <w:tcW w:w="1460" w:type="dxa"/>
            <w:vAlign w:val="bottom"/>
          </w:tcPr>
          <w:p>
            <w:pPr>
              <w:spacing w:after="0" w:line="179" w:lineRule="exact"/>
              <w:rPr>
                <w:sz w:val="20"/>
                <w:szCs w:val="20"/>
                <w:color w:val="auto"/>
              </w:rPr>
            </w:pPr>
            <w:r>
              <w:rPr>
                <w:rFonts w:ascii="Arial" w:cs="Arial" w:eastAsia="Arial" w:hAnsi="Arial"/>
                <w:sz w:val="16"/>
                <w:szCs w:val="16"/>
                <w:color w:val="auto"/>
                <w:w w:val="84"/>
              </w:rPr>
              <w:t>Located in Orangeburg,</w:t>
            </w:r>
          </w:p>
        </w:tc>
        <w:tc>
          <w:tcPr>
            <w:tcW w:w="4900" w:type="dxa"/>
            <w:vAlign w:val="bottom"/>
            <w:tcBorders>
              <w:right w:val="single" w:sz="8" w:color="auto"/>
            </w:tcBorders>
            <w:gridSpan w:val="7"/>
          </w:tcPr>
          <w:p>
            <w:pPr>
              <w:ind w:left="120"/>
              <w:spacing w:after="0" w:line="179" w:lineRule="exact"/>
              <w:rPr>
                <w:sz w:val="20"/>
                <w:szCs w:val="20"/>
                <w:color w:val="auto"/>
              </w:rPr>
            </w:pPr>
            <w:r>
              <w:rPr>
                <w:rFonts w:ascii="Arial" w:cs="Arial" w:eastAsia="Arial" w:hAnsi="Arial"/>
                <w:sz w:val="16"/>
                <w:szCs w:val="16"/>
                <w:color w:val="auto"/>
              </w:rPr>
              <w:t>South Carolina and founded in 1988, Dempsey is a sawmill which</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(Dempsey)</w:t>
            </w:r>
          </w:p>
        </w:tc>
        <w:tc>
          <w:tcPr>
            <w:tcW w:w="636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3"/>
              </w:rPr>
              <w:t>produces products such as kiln dried finished lumber, industrial lumber, green cut stock lumber,</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5560" w:type="dxa"/>
            <w:vAlign w:val="bottom"/>
            <w:gridSpan w:val="7"/>
          </w:tcPr>
          <w:p>
            <w:pPr>
              <w:spacing w:after="0"/>
              <w:rPr>
                <w:sz w:val="20"/>
                <w:szCs w:val="20"/>
                <w:color w:val="auto"/>
              </w:rPr>
            </w:pPr>
            <w:r>
              <w:rPr>
                <w:rFonts w:ascii="Arial" w:cs="Arial" w:eastAsia="Arial" w:hAnsi="Arial"/>
                <w:sz w:val="16"/>
                <w:szCs w:val="16"/>
                <w:color w:val="auto"/>
                <w:w w:val="90"/>
              </w:rPr>
              <w:t>pine chips and shavings, landscaping mulch, and sawdust. The Company had sales of</w:t>
            </w: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approximately $69 million in 2021.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above investments have not been finalized and allocated to their respective identifiable asset and goodwill accounts. In aggregate, investments completed since the end of the second quarter of 2022 and not consolidated with other operations contributed approximately $23.8 million in net sales and $1.0 million in operating profits during the first six months of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Arial" w:cs="Arial" w:eastAsia="Arial" w:hAnsi="Arial"/>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July 1, 2023, the carrying value of our investment in Dempsey is $64.3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9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2023 and 2022 are not presented.</w:t>
      </w:r>
    </w:p>
    <w:p>
      <w:pPr>
        <w:spacing w:after="0" w:line="166"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operate manufacturing, treating and distribution facilities internationally, but primarily in the United States. Our business segments consist of UFP Retail Solutions, UFP Packaging (formerly known as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9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5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Three Months Ended July 1, 2023</w:t>
            </w: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5"/>
        </w:trPr>
        <w:tc>
          <w:tcPr>
            <w:tcW w:w="26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b w:val="1"/>
                <w:bCs w:val="1"/>
                <w:color w:val="auto"/>
              </w:rPr>
              <w:t>Retail</w:t>
            </w:r>
          </w:p>
        </w:tc>
        <w:tc>
          <w:tcPr>
            <w:tcW w:w="1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Packaging</w:t>
            </w:r>
          </w:p>
        </w:tc>
        <w:tc>
          <w:tcPr>
            <w:tcW w:w="1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Construction</w:t>
            </w: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6"/>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$ 919,998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$ 488,100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$ 550,464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$ 86,224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$ 2,043,918</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198,518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(318,528)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193,497</w:t>
            </w:r>
          </w:p>
        </w:tc>
      </w:tr>
      <w:tr>
        <w:trPr>
          <w:trHeight w:val="878"/>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right"/>
              <w:ind w:right="219"/>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4"/>
              </w:rPr>
              <w:t>Three Months Ended June 25, 2022</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6"/>
        </w:trPr>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Packaging</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sales to outside customers</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$ 1,121,440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$ 676,333</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$ 975,376</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$ 124,416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$ 2,900,874</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480" w:type="dxa"/>
            <w:vAlign w:val="bottom"/>
            <w:gridSpan w:val="7"/>
          </w:tcPr>
          <w:p>
            <w:pPr>
              <w:jc w:val="right"/>
              <w:spacing w:after="0"/>
              <w:rPr>
                <w:sz w:val="20"/>
                <w:szCs w:val="20"/>
                <w:color w:val="auto"/>
              </w:rPr>
            </w:pPr>
            <w:r>
              <w:rPr>
                <w:rFonts w:ascii="Arial" w:cs="Arial" w:eastAsia="Arial" w:hAnsi="Arial"/>
                <w:sz w:val="18"/>
                <w:szCs w:val="18"/>
                <w:color w:val="auto"/>
              </w:rPr>
              <w:t>67,612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21,487</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31,866</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125,893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(246,858)</w:t>
            </w: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4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24,527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94,210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132,832</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285,566</w:t>
            </w:r>
          </w:p>
        </w:tc>
      </w:tr>
      <w:tr>
        <w:trPr>
          <w:trHeight w:val="399"/>
        </w:trPr>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7"/>
              </w:rPr>
              <w:t>Six Months Ended July 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Packaging</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94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sales to outside customers</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$ 1,669,575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$ 974,661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$ 1,066,057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$ 153,736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$ 3,866,394</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340" w:type="dxa"/>
            <w:vAlign w:val="bottom"/>
            <w:gridSpan w:val="5"/>
          </w:tcPr>
          <w:p>
            <w:pPr>
              <w:jc w:val="right"/>
              <w:ind w:right="60"/>
              <w:spacing w:after="0"/>
              <w:rPr>
                <w:sz w:val="20"/>
                <w:szCs w:val="20"/>
                <w:color w:val="auto"/>
              </w:rPr>
            </w:pPr>
            <w:r>
              <w:rPr>
                <w:rFonts w:ascii="Arial" w:cs="Arial" w:eastAsia="Arial" w:hAnsi="Arial"/>
                <w:sz w:val="18"/>
                <w:szCs w:val="18"/>
                <w:color w:val="auto"/>
              </w:rPr>
              <w:t>421,843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41,026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49,390</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152,967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(665,226)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3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101,236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116,207</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355,205</w:t>
            </w:r>
          </w:p>
        </w:tc>
      </w:tr>
      <w:tr>
        <w:trPr>
          <w:trHeight w:val="385"/>
        </w:trPr>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w w:val="95"/>
              </w:rPr>
              <w:t>Six Months Ended June 25,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Packaging</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sales to outside customers</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$ 2,114,672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$ 1,287,702</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$ 1,761,847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$ 219,983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$ 5,390,187</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133,560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43,660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57,218</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235,665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(470,103)</w:t>
            </w: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95,924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211,650</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37,563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544,591</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presents goodwill by segment as of July 1, 2023, and December 31, 2022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6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Retail</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9"/>
              </w:rPr>
              <w:t>Packaging</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$ 84,640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$ 148,909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$ 16,101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$ 337,320</w:t>
            </w: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2023 Purchase Accounting Adjustments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(979)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(1,046)</w:t>
            </w:r>
          </w:p>
        </w:tc>
      </w:tr>
      <w:tr>
        <w:trPr>
          <w:trHeight w:val="23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3"/>
        </w:trPr>
        <w:tc>
          <w:tcPr>
            <w:tcW w:w="36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as of July 1, 2023</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$ 83,661</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$ 148,842</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87,796</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$ 16,196</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$ 336,495</w:t>
            </w: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total assets by segment as of July 1, 2023, and December 31, 2022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87"/>
              </w:rPr>
              <w:t>Total Assets by Segment</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3"/>
                <w:szCs w:val="13"/>
                <w:color w:val="auto"/>
              </w:rPr>
            </w:pPr>
          </w:p>
        </w:tc>
        <w:tc>
          <w:tcPr>
            <w:tcW w:w="11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auto"/>
            </w:tcBorders>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59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992,463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889,417</w:t>
            </w: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Packaging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885,878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712,837</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308,688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r>
      <w:tr>
        <w:trPr>
          <w:trHeight w:val="236"/>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1,018,488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875,253</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59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3,843,943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3,672,073</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hanging="510"/>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foreign, state and local income taxes and permanent tax differences. Our effective tax rate was 23.7% in the second quarter of 2023 compared to 25.0% in the same period of 2022 and was 23.7% in the first six months of 2023 compared to 24.5% for the same period in 2022. The decrease in our overall effective tax rate was primarily due to an increase in our tax deduction from stock based compensation accounted for as a permanent difference.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480" w:hanging="430"/>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six months of 2023 and 2022 (in thousands, except average share price):</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July 1, 2023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8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7"/>
              </w:rPr>
              <w:t>Share Issuance Activity</w:t>
            </w:r>
          </w:p>
        </w:tc>
        <w:tc>
          <w:tcPr>
            <w:tcW w:w="536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80" w:type="dxa"/>
            <w:vAlign w:val="bottom"/>
            <w:tcBorders>
              <w:bottom w:val="single" w:sz="8" w:color="auto"/>
            </w:tcBorders>
            <w:vMerge w:val="continue"/>
          </w:tcPr>
          <w:p>
            <w:pPr>
              <w:spacing w:after="0"/>
              <w:rPr>
                <w:sz w:val="11"/>
                <w:szCs w:val="11"/>
                <w:color w:val="auto"/>
              </w:rPr>
            </w:pPr>
          </w:p>
        </w:tc>
        <w:tc>
          <w:tcPr>
            <w:tcW w:w="53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87.02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plan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85.89</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3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824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86.12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85.16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During the first six months of 2023, we repurchased 700,597 shares of our common stock at an average share price of $79.20.</w:t>
      </w:r>
    </w:p>
    <w:p>
      <w:pPr>
        <w:spacing w:after="0" w:line="243"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June 25, 2022</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5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68"/>
        </w:trPr>
        <w:tc>
          <w:tcPr>
            <w:tcW w:w="7140" w:type="dxa"/>
            <w:vAlign w:val="bottom"/>
            <w:gridSpan w:val="3"/>
            <w:vMerge w:val="restart"/>
          </w:tcPr>
          <w:p>
            <w:pPr>
              <w:ind w:left="20"/>
              <w:spacing w:after="0" w:line="192" w:lineRule="exact"/>
              <w:rPr>
                <w:sz w:val="20"/>
                <w:szCs w:val="20"/>
                <w:color w:val="auto"/>
              </w:rPr>
            </w:pPr>
            <w:r>
              <w:rPr>
                <w:rFonts w:ascii="Arial" w:cs="Arial" w:eastAsia="Arial" w:hAnsi="Arial"/>
                <w:sz w:val="18"/>
                <w:szCs w:val="18"/>
                <w:b w:val="1"/>
                <w:bCs w:val="1"/>
                <w:color w:val="auto"/>
              </w:rPr>
              <w:t>Share Issuance Activity</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71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24</w:t>
            </w:r>
          </w:p>
        </w:tc>
        <w:tc>
          <w:tcPr>
            <w:tcW w:w="3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72.58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79.46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82.72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82.59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During the first six months of 2022, we repurchased approximately 1,210,000 shares of our common stock at an average share price of $77.06.</w:t>
      </w:r>
    </w:p>
    <w:p>
      <w:pPr>
        <w:spacing w:after="0" w:line="166" w:lineRule="exact"/>
        <w:rPr>
          <w:sz w:val="20"/>
          <w:szCs w:val="20"/>
          <w:color w:val="auto"/>
        </w:rPr>
      </w:pPr>
    </w:p>
    <w:p>
      <w:pPr>
        <w:ind w:left="500" w:hanging="450"/>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 to inventory as of July 1, 2023 and June 25, 2022 was $0.8 million and $9.3 million, respectively.</w:t>
      </w:r>
    </w:p>
    <w:p>
      <w:pPr>
        <w:spacing w:after="0" w:line="200" w:lineRule="exact"/>
        <w:rPr>
          <w:sz w:val="20"/>
          <w:szCs w:val="20"/>
          <w:color w:val="auto"/>
        </w:rPr>
      </w:pPr>
    </w:p>
    <w:p>
      <w:pPr>
        <w:spacing w:after="0" w:line="204"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On July 26, 2023, our board authorized the repurchase of up to $200 million worth of shares of outstanding stock through July 31, 2024. This share authorization supersedes and replaces our prior share repurchase authorizations.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 For more information about UFP Industries, Inc., or its affiliated operations, go to www.ufpi.com.</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We are pleased to present this overview of the second quarter of 2023.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second quarter of 2023 include the following highlights:</w:t>
      </w:r>
    </w:p>
    <w:p>
      <w:pPr>
        <w:spacing w:after="0" w:line="225" w:lineRule="exact"/>
        <w:rPr>
          <w:sz w:val="20"/>
          <w:szCs w:val="20"/>
          <w:color w:val="auto"/>
        </w:rPr>
      </w:pPr>
    </w:p>
    <w:p>
      <w:pPr>
        <w:jc w:val="both"/>
        <w:ind w:left="900" w:right="59" w:hanging="330"/>
        <w:spacing w:after="0" w:line="27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net sales decreased 30% compared to the second quarter of 2022, which was comprised of a 20% decrease in selling prices and a 10% decrease in organic unit sales. The overall decrease in our selling prices is primarily due to lower lumber prices. Organic unit declines consisted of 4% in our retail segment, 9% in our packaging segment, 18% in our construction segment, and 22% in our international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900" w:right="59" w:hanging="330"/>
        <w:spacing w:after="0" w:line="25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profits decreased by $103.4 million, or 20.5%, compared to the same period of the prior year, exceeding our 10% decline in unit sales, due to competitive price pressure and negative operating leverage on the drop in volume. The gross profit of Retail increased $48 million and was offset by declines in gross profit of $90 million in Construction, $44 million in Packaging, and $19 million in International. The overall decline in gross profits is primarily due to the decline in unit sales, unfavorable cost variances as a result of fixed manufacturing costs, and more competitive pricing in certain business units. These unfavorable factors were partially offset by more favorable lumber price trends in 2023 on products sold in our Retail segment that are based on variable selling price.</w:t>
      </w:r>
    </w:p>
    <w:p>
      <w:pPr>
        <w:spacing w:after="0" w:line="191" w:lineRule="exact"/>
        <w:rPr>
          <w:rFonts w:ascii="Arial" w:cs="Arial" w:eastAsia="Arial" w:hAnsi="Arial"/>
          <w:sz w:val="18"/>
          <w:szCs w:val="18"/>
          <w:color w:val="auto"/>
        </w:rPr>
      </w:pPr>
    </w:p>
    <w:p>
      <w:pPr>
        <w:jc w:val="both"/>
        <w:ind w:left="900" w:right="59" w:hanging="330"/>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profits decreased $92 million, or 32.2%, compared to the second quarter of 2022. The overall decrease is a result of the decline in gross profits mentioned above offset by a $10 million decrease in selling, general, and administrative (“SG&amp;A”) expenses. Our SG&amp;A declined primarly due to our incentive compensation plans which are tied to profitability and return on investment. Our decremental operating margin comparing our decrease in operating profits relative to decrease in net sales was 10.7%, which was lower than the estimated range of 15% to 20% we previously disclosed.</w:t>
      </w:r>
    </w:p>
    <w:p>
      <w:pPr>
        <w:spacing w:after="0" w:line="192" w:lineRule="exact"/>
        <w:rPr>
          <w:rFonts w:ascii="Arial" w:cs="Arial" w:eastAsia="Arial" w:hAnsi="Arial"/>
          <w:sz w:val="18"/>
          <w:szCs w:val="18"/>
          <w:color w:val="auto"/>
        </w:rPr>
      </w:pPr>
    </w:p>
    <w:p>
      <w:pPr>
        <w:jc w:val="both"/>
        <w:ind w:left="900" w:right="59" w:hanging="330"/>
        <w:spacing w:after="0" w:line="27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cash flows from operations was $321 million in the first six months of 2023 compared to $90 million during the first six months of 2022. The $231 million improvement resulted from a seasonal increase in net working capital that was $349 million lower in the first six months of 2023 than it was in 2022, offset by a $118 million decrease in net earnings and non-cash expenses compared to the prior year.</w:t>
      </w:r>
    </w:p>
    <w:p>
      <w:pPr>
        <w:spacing w:after="0" w:line="171" w:lineRule="exact"/>
        <w:rPr>
          <w:rFonts w:ascii="Arial" w:cs="Arial" w:eastAsia="Arial" w:hAnsi="Arial"/>
          <w:sz w:val="17"/>
          <w:szCs w:val="17"/>
          <w:color w:val="auto"/>
        </w:rPr>
      </w:pPr>
    </w:p>
    <w:p>
      <w:pPr>
        <w:jc w:val="both"/>
        <w:ind w:left="900" w:right="59" w:hanging="330"/>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net cash surplus at the end of June 2023 was $425 million compared to net debt (debt and cash overdraft less cash) of $191 million at the end of June 2022. Our unused borrowing capacity under revolving credit facilities and a shelf agreement with certain lenders along with our cash surplus resulted in total liquidity of approximately $2.0 billion at the end of the second quarter of 2023.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Random Lengths Composite</w:t>
      </w:r>
    </w:p>
    <w:p>
      <w:pPr>
        <w:jc w:val="center"/>
        <w:ind w:left="670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428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February</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April</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June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Second quarter average</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average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percentage change</w:t>
            </w:r>
          </w:p>
        </w:tc>
        <w:tc>
          <w:tcPr>
            <w:tcW w:w="55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(54.4)%</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Year-to-date percentage change</w:t>
            </w:r>
          </w:p>
        </w:tc>
        <w:tc>
          <w:tcPr>
            <w:tcW w:w="5500" w:type="dxa"/>
            <w:vAlign w:val="bottom"/>
          </w:tcPr>
          <w:p>
            <w:pPr>
              <w:jc w:val="right"/>
              <w:ind w:right="1010"/>
              <w:spacing w:after="0"/>
              <w:rPr>
                <w:sz w:val="20"/>
                <w:szCs w:val="20"/>
                <w:color w:val="auto"/>
              </w:rPr>
            </w:pPr>
            <w:r>
              <w:rPr>
                <w:rFonts w:ascii="Arial" w:cs="Arial" w:eastAsia="Arial" w:hAnsi="Arial"/>
                <w:sz w:val="18"/>
                <w:szCs w:val="18"/>
                <w:color w:val="auto"/>
              </w:rPr>
              <w:t>(61.2)%</w:t>
            </w:r>
          </w:p>
        </w:tc>
      </w:tr>
      <w:tr>
        <w:trPr>
          <w:trHeight w:val="850"/>
        </w:trPr>
        <w:tc>
          <w:tcPr>
            <w:tcW w:w="3420" w:type="dxa"/>
            <w:vAlign w:val="bottom"/>
          </w:tcPr>
          <w:p>
            <w:pPr>
              <w:spacing w:after="0"/>
              <w:rPr>
                <w:sz w:val="24"/>
                <w:szCs w:val="24"/>
                <w:color w:val="auto"/>
              </w:rPr>
            </w:pPr>
          </w:p>
        </w:tc>
        <w:tc>
          <w:tcPr>
            <w:tcW w:w="5500" w:type="dxa"/>
            <w:vAlign w:val="bottom"/>
          </w:tcPr>
          <w:p>
            <w:pPr>
              <w:jc w:val="right"/>
              <w:ind w:right="4270"/>
              <w:spacing w:after="0"/>
              <w:rPr>
                <w:sz w:val="20"/>
                <w:szCs w:val="20"/>
                <w:color w:val="auto"/>
              </w:rPr>
            </w:pPr>
            <w:r>
              <w:rPr>
                <w:rFonts w:ascii="Arial" w:cs="Arial" w:eastAsia="Arial" w:hAnsi="Arial"/>
                <w:sz w:val="18"/>
                <w:szCs w:val="18"/>
                <w:color w:val="auto"/>
              </w:rPr>
              <w:t>19</w:t>
            </w:r>
          </w:p>
        </w:tc>
      </w:tr>
      <w:tr>
        <w:trPr>
          <w:trHeight w:val="561"/>
        </w:trPr>
        <w:tc>
          <w:tcPr>
            <w:tcW w:w="34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Southern Yellow Pine</w:t>
      </w:r>
    </w:p>
    <w:p>
      <w:pPr>
        <w:jc w:val="center"/>
        <w:ind w:left="676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47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February</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2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9"/>
                <w:szCs w:val="19"/>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April</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June</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Second quarter average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average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percentage change</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Year-to-date percentage change</w:t>
            </w: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Lower overall lumber prices in 2023 compared to 2022 is primarily due to increased capacity and the supply of lumber in North America combined with an increase in imports from other countries while demand for lumber has declined. A change in lumber prices impacts our profitability of products sold with fixed and variable prices, as discussed below.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39.0% and 54.8% of our sales in the first six months of 2023 and 2022, respectively. The decrease from the prior year ratio reflects the significant decrease in the Lumber Market as well as an improvement in our sales mix of value-added products and our value-based selling practices.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our variably priced products have pricing indexed to the reported Lumber Market with a fixed dollar adder to cover conversion costs and profits. Consequently, the level and trend of the Lumber Market impact our products differently.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900" w:right="59" w:hanging="330"/>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900" w:right="59" w:hanging="330"/>
        <w:spacing w:after="0" w:line="25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w:t>
      </w:r>
      <w:r>
        <w:rPr>
          <w:rFonts w:ascii="Arial" w:cs="Arial" w:eastAsia="Arial" w:hAnsi="Arial"/>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Sales of these products are highest in the second quarter, primarily due to seasonal demand for pressure-treated lumber sold in our retail segment.</w:t>
      </w:r>
    </w:p>
    <w:p>
      <w:pPr>
        <w:spacing w:after="0" w:line="195" w:lineRule="exact"/>
        <w:rPr>
          <w:sz w:val="20"/>
          <w:szCs w:val="20"/>
          <w:color w:val="auto"/>
        </w:rPr>
      </w:pPr>
    </w:p>
    <w:p>
      <w:pPr>
        <w:jc w:val="both"/>
        <w:ind w:left="540" w:right="59"/>
        <w:spacing w:after="0" w:line="263" w:lineRule="auto"/>
        <w:rPr>
          <w:sz w:val="20"/>
          <w:szCs w:val="20"/>
          <w:color w:val="auto"/>
        </w:rPr>
      </w:pPr>
      <w:r>
        <w:rPr>
          <w:rFonts w:ascii="Arial" w:cs="Arial" w:eastAsia="Arial" w:hAnsi="Arial"/>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900" w:right="59" w:hanging="330"/>
        <w:spacing w:after="0" w:line="289"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Products with significant inventory levels with low turnover rates, whose selling prices are indexed to the Lumber Market.</w:t>
      </w:r>
      <w:r>
        <w:rPr>
          <w:rFonts w:ascii="Arial" w:cs="Arial" w:eastAsia="Arial" w:hAnsi="Arial"/>
          <w:sz w:val="16"/>
          <w:szCs w:val="16"/>
          <w:color w:val="auto"/>
        </w:rPr>
        <w:t xml:space="preserve"> In other words, the longer the period of time these products remain in inventory, the greater the exposure to changes in the price of lumber. This includes treated lumber, which comprised approximately 21% of our total net sales in the first six months of 2023.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19% of our total purchases for the first six months of 2023 were transacted under these programs. (</w:t>
      </w:r>
      <w:r>
        <w:rPr>
          <w:rFonts w:ascii="Arial" w:cs="Arial" w:eastAsia="Arial" w:hAnsi="Arial"/>
          <w:sz w:val="16"/>
          <w:szCs w:val="16"/>
          <w:i w:val="1"/>
          <w:iCs w:val="1"/>
          <w:color w:val="auto"/>
        </w:rPr>
        <w:t>Please refer to the “Risk Factors” section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annual report on form 10-K, filed with the United States Securities and Exchange Commission.</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900" w:right="59" w:hanging="330"/>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Lumber cost</w:t>
            </w:r>
          </w:p>
        </w:tc>
        <w:tc>
          <w:tcPr>
            <w:tcW w:w="2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Conversion cost</w:t>
            </w:r>
          </w:p>
        </w:tc>
        <w:tc>
          <w:tcPr>
            <w:tcW w:w="2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Product cost</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Adder</w:t>
            </w:r>
          </w:p>
        </w:tc>
        <w:tc>
          <w:tcPr>
            <w:tcW w:w="2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Sell price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completed no business acquisitions during the first six months of fiscal 2023. We completed four in fiscal 2022. The annual historical sales attributable to acquisitions completed during the last six months of 2022 was approximately $116 million. These business combinations were not significant to our quarterly results individually or in aggregate and thus pro forma results for 2023 and 2022 are not presented.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54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540" w:type="dxa"/>
            <w:vAlign w:val="bottom"/>
          </w:tcPr>
          <w:p>
            <w:pPr>
              <w:spacing w:after="0"/>
              <w:rPr>
                <w:sz w:val="10"/>
                <w:szCs w:val="10"/>
                <w:color w:val="auto"/>
              </w:rPr>
            </w:pPr>
          </w:p>
        </w:tc>
        <w:tc>
          <w:tcPr>
            <w:tcW w:w="820" w:type="dxa"/>
            <w:vAlign w:val="bottom"/>
            <w:gridSpan w:val="2"/>
          </w:tcPr>
          <w:p>
            <w:pPr>
              <w:jc w:val="right"/>
              <w:ind w:right="230"/>
              <w:spacing w:after="0" w:line="126" w:lineRule="exact"/>
              <w:rPr>
                <w:sz w:val="20"/>
                <w:szCs w:val="20"/>
                <w:color w:val="auto"/>
              </w:rPr>
            </w:pPr>
            <w:r>
              <w:rPr>
                <w:rFonts w:ascii="Arial" w:cs="Arial" w:eastAsia="Arial" w:hAnsi="Arial"/>
                <w:sz w:val="14"/>
                <w:szCs w:val="14"/>
                <w:b w:val="1"/>
                <w:bCs w:val="1"/>
                <w:color w:val="auto"/>
              </w:rPr>
              <w:t>July 1,</w:t>
            </w:r>
          </w:p>
        </w:tc>
        <w:tc>
          <w:tcPr>
            <w:tcW w:w="920" w:type="dxa"/>
            <w:vAlign w:val="bottom"/>
            <w:gridSpan w:val="2"/>
          </w:tcPr>
          <w:p>
            <w:pPr>
              <w:jc w:val="right"/>
              <w:ind w:right="290"/>
              <w:spacing w:after="0" w:line="126" w:lineRule="exact"/>
              <w:rPr>
                <w:sz w:val="20"/>
                <w:szCs w:val="20"/>
                <w:color w:val="auto"/>
              </w:rPr>
            </w:pPr>
            <w:r>
              <w:rPr>
                <w:rFonts w:ascii="Arial" w:cs="Arial" w:eastAsia="Arial" w:hAnsi="Arial"/>
                <w:sz w:val="14"/>
                <w:szCs w:val="14"/>
                <w:b w:val="1"/>
                <w:bCs w:val="1"/>
                <w:color w:val="auto"/>
                <w:w w:val="92"/>
              </w:rPr>
              <w:t>June 25,</w:t>
            </w:r>
          </w:p>
        </w:tc>
        <w:tc>
          <w:tcPr>
            <w:tcW w:w="820" w:type="dxa"/>
            <w:vAlign w:val="bottom"/>
            <w:gridSpan w:val="2"/>
          </w:tcPr>
          <w:p>
            <w:pPr>
              <w:jc w:val="right"/>
              <w:ind w:right="250"/>
              <w:spacing w:after="0" w:line="126" w:lineRule="exact"/>
              <w:rPr>
                <w:sz w:val="20"/>
                <w:szCs w:val="20"/>
                <w:color w:val="auto"/>
              </w:rPr>
            </w:pPr>
            <w:r>
              <w:rPr>
                <w:rFonts w:ascii="Arial" w:cs="Arial" w:eastAsia="Arial" w:hAnsi="Arial"/>
                <w:sz w:val="14"/>
                <w:szCs w:val="14"/>
                <w:b w:val="1"/>
                <w:bCs w:val="1"/>
                <w:color w:val="auto"/>
              </w:rPr>
              <w:t>July 1,</w:t>
            </w:r>
          </w:p>
        </w:tc>
        <w:tc>
          <w:tcPr>
            <w:tcW w:w="820" w:type="dxa"/>
            <w:vAlign w:val="bottom"/>
            <w:gridSpan w:val="2"/>
          </w:tcPr>
          <w:p>
            <w:pPr>
              <w:jc w:val="right"/>
              <w:ind w:right="190"/>
              <w:spacing w:after="0" w:line="126" w:lineRule="exact"/>
              <w:rPr>
                <w:sz w:val="20"/>
                <w:szCs w:val="20"/>
                <w:color w:val="auto"/>
              </w:rPr>
            </w:pPr>
            <w:r>
              <w:rPr>
                <w:rFonts w:ascii="Arial" w:cs="Arial" w:eastAsia="Arial" w:hAnsi="Arial"/>
                <w:sz w:val="14"/>
                <w:szCs w:val="14"/>
                <w:b w:val="1"/>
                <w:bCs w:val="1"/>
                <w:color w:val="auto"/>
                <w:w w:val="92"/>
              </w:rPr>
              <w:t>June 25,</w:t>
            </w:r>
          </w:p>
        </w:tc>
      </w:tr>
      <w:tr>
        <w:trPr>
          <w:trHeight w:val="178"/>
        </w:trPr>
        <w:tc>
          <w:tcPr>
            <w:tcW w:w="55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3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18"/>
                <w:szCs w:val="18"/>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9"/>
                <w:szCs w:val="19"/>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r>
      <w:tr>
        <w:trPr>
          <w:trHeight w:val="20"/>
        </w:trPr>
        <w:tc>
          <w:tcPr>
            <w:tcW w:w="55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7.4 %</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7.0 %</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7.2 %</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7.3 %</w:t>
            </w:r>
          </w:p>
        </w:tc>
      </w:tr>
      <w:tr>
        <w:trPr>
          <w:trHeight w:val="20"/>
        </w:trPr>
        <w:tc>
          <w:tcPr>
            <w:tcW w:w="5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Percentage Change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5"/>
        </w:trPr>
        <w:tc>
          <w:tcPr>
            <w:tcW w:w="474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262"/>
              <w:spacing w:after="0" w:line="149"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379"/>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39"/>
        </w:trPr>
        <w:tc>
          <w:tcPr>
            <w:tcW w:w="4740" w:type="dxa"/>
            <w:vAlign w:val="bottom"/>
          </w:tcPr>
          <w:p>
            <w:pPr>
              <w:spacing w:after="0"/>
              <w:rPr>
                <w:sz w:val="12"/>
                <w:szCs w:val="12"/>
                <w:color w:val="auto"/>
              </w:rPr>
            </w:pPr>
          </w:p>
        </w:tc>
        <w:tc>
          <w:tcPr>
            <w:tcW w:w="880" w:type="dxa"/>
            <w:vAlign w:val="bottom"/>
          </w:tcPr>
          <w:p>
            <w:pPr>
              <w:jc w:val="right"/>
              <w:ind w:right="158"/>
              <w:spacing w:after="0" w:line="139"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2"/>
                <w:szCs w:val="12"/>
                <w:color w:val="auto"/>
              </w:rPr>
            </w:pPr>
          </w:p>
        </w:tc>
        <w:tc>
          <w:tcPr>
            <w:tcW w:w="960" w:type="dxa"/>
            <w:vAlign w:val="bottom"/>
          </w:tcPr>
          <w:p>
            <w:pPr>
              <w:jc w:val="right"/>
              <w:ind w:right="142"/>
              <w:spacing w:after="0" w:line="139" w:lineRule="exact"/>
              <w:rPr>
                <w:sz w:val="20"/>
                <w:szCs w:val="20"/>
                <w:color w:val="auto"/>
              </w:rPr>
            </w:pPr>
            <w:r>
              <w:rPr>
                <w:rFonts w:ascii="Arial" w:cs="Arial" w:eastAsia="Arial" w:hAnsi="Arial"/>
                <w:sz w:val="14"/>
                <w:szCs w:val="14"/>
                <w:b w:val="1"/>
                <w:bCs w:val="1"/>
                <w:color w:val="auto"/>
              </w:rPr>
              <w:t>June 25,</w:t>
            </w:r>
          </w:p>
        </w:tc>
        <w:tc>
          <w:tcPr>
            <w:tcW w:w="140" w:type="dxa"/>
            <w:vAlign w:val="bottom"/>
          </w:tcPr>
          <w:p>
            <w:pPr>
              <w:spacing w:after="0"/>
              <w:rPr>
                <w:sz w:val="12"/>
                <w:szCs w:val="12"/>
                <w:color w:val="auto"/>
              </w:rPr>
            </w:pPr>
          </w:p>
        </w:tc>
        <w:tc>
          <w:tcPr>
            <w:tcW w:w="960" w:type="dxa"/>
            <w:vAlign w:val="bottom"/>
          </w:tcPr>
          <w:p>
            <w:pPr>
              <w:jc w:val="right"/>
              <w:ind w:right="202"/>
              <w:spacing w:after="0" w:line="139"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2"/>
                <w:szCs w:val="12"/>
                <w:color w:val="auto"/>
              </w:rPr>
            </w:pPr>
          </w:p>
        </w:tc>
        <w:tc>
          <w:tcPr>
            <w:tcW w:w="960" w:type="dxa"/>
            <w:vAlign w:val="bottom"/>
          </w:tcPr>
          <w:p>
            <w:pPr>
              <w:jc w:val="right"/>
              <w:ind w:right="139"/>
              <w:spacing w:after="0" w:line="139" w:lineRule="exact"/>
              <w:rPr>
                <w:sz w:val="20"/>
                <w:szCs w:val="20"/>
                <w:color w:val="auto"/>
              </w:rPr>
            </w:pPr>
            <w:r>
              <w:rPr>
                <w:rFonts w:ascii="Arial" w:cs="Arial" w:eastAsia="Arial" w:hAnsi="Arial"/>
                <w:sz w:val="14"/>
                <w:szCs w:val="14"/>
                <w:b w:val="1"/>
                <w:bCs w:val="1"/>
                <w:color w:val="auto"/>
              </w:rPr>
              <w:t>June 25,</w:t>
            </w:r>
          </w:p>
        </w:tc>
      </w:tr>
      <w:tr>
        <w:trPr>
          <w:trHeight w:val="178"/>
        </w:trPr>
        <w:tc>
          <w:tcPr>
            <w:tcW w:w="4740" w:type="dxa"/>
            <w:vAlign w:val="bottom"/>
          </w:tcPr>
          <w:p>
            <w:pPr>
              <w:spacing w:after="0"/>
              <w:rPr>
                <w:sz w:val="15"/>
                <w:szCs w:val="15"/>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2022</w:t>
            </w: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3.0 %</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6.0 %</w:t>
            </w: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(20.5)</w:t>
            </w:r>
          </w:p>
        </w:tc>
        <w:tc>
          <w:tcPr>
            <w:tcW w:w="1100" w:type="dxa"/>
            <w:vAlign w:val="bottom"/>
            <w:gridSpan w:val="2"/>
          </w:tcPr>
          <w:p>
            <w:pPr>
              <w:jc w:val="right"/>
              <w:ind w:right="222"/>
              <w:spacing w:after="0"/>
              <w:rPr>
                <w:sz w:val="20"/>
                <w:szCs w:val="20"/>
                <w:color w:val="auto"/>
              </w:rPr>
            </w:pPr>
            <w:r>
              <w:rPr>
                <w:rFonts w:ascii="Arial" w:cs="Arial" w:eastAsia="Arial" w:hAnsi="Arial"/>
                <w:sz w:val="18"/>
                <w:szCs w:val="18"/>
                <w:color w:val="auto"/>
              </w:rPr>
              <w:t>19.5</w:t>
            </w:r>
          </w:p>
        </w:tc>
        <w:tc>
          <w:tcPr>
            <w:tcW w:w="1100" w:type="dxa"/>
            <w:vAlign w:val="bottom"/>
            <w:gridSpan w:val="2"/>
          </w:tcPr>
          <w:p>
            <w:pPr>
              <w:jc w:val="right"/>
              <w:ind w:right="182"/>
              <w:spacing w:after="0"/>
              <w:rPr>
                <w:sz w:val="20"/>
                <w:szCs w:val="20"/>
                <w:color w:val="auto"/>
              </w:rPr>
            </w:pPr>
            <w:r>
              <w:rPr>
                <w:rFonts w:ascii="Arial" w:cs="Arial" w:eastAsia="Arial" w:hAnsi="Arial"/>
                <w:sz w:val="18"/>
                <w:szCs w:val="18"/>
                <w:color w:val="auto"/>
              </w:rPr>
              <w:t>(22.8)</w:t>
            </w:r>
          </w:p>
        </w:tc>
        <w:tc>
          <w:tcPr>
            <w:tcW w:w="1100" w:type="dxa"/>
            <w:vAlign w:val="bottom"/>
            <w:gridSpan w:val="2"/>
          </w:tcPr>
          <w:p>
            <w:pPr>
              <w:jc w:val="right"/>
              <w:ind w:right="239"/>
              <w:spacing w:after="0"/>
              <w:rPr>
                <w:sz w:val="20"/>
                <w:szCs w:val="20"/>
                <w:color w:val="auto"/>
              </w:rPr>
            </w:pPr>
            <w:r>
              <w:rPr>
                <w:rFonts w:ascii="Arial" w:cs="Arial" w:eastAsia="Arial" w:hAnsi="Arial"/>
                <w:sz w:val="18"/>
                <w:szCs w:val="18"/>
                <w:color w:val="auto"/>
              </w:rPr>
              <w:t>38.7</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(4.6)</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16.3</w:t>
            </w:r>
          </w:p>
        </w:tc>
        <w:tc>
          <w:tcPr>
            <w:tcW w:w="11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(8.1)</w:t>
            </w:r>
          </w:p>
        </w:tc>
        <w:tc>
          <w:tcPr>
            <w:tcW w:w="11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29.9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880" w:type="dxa"/>
            <w:vAlign w:val="bottom"/>
          </w:tcPr>
          <w:p>
            <w:pPr>
              <w:jc w:val="right"/>
              <w:ind w:right="178"/>
              <w:spacing w:after="0"/>
              <w:rPr>
                <w:sz w:val="20"/>
                <w:szCs w:val="20"/>
                <w:color w:val="auto"/>
              </w:rPr>
            </w:pPr>
            <w:r>
              <w:rPr>
                <w:rFonts w:ascii="Arial" w:cs="Arial" w:eastAsia="Arial" w:hAnsi="Arial"/>
                <w:sz w:val="18"/>
                <w:szCs w:val="18"/>
                <w:color w:val="auto"/>
              </w:rPr>
              <w:t>(32.2)</w:t>
            </w:r>
          </w:p>
        </w:tc>
        <w:tc>
          <w:tcPr>
            <w:tcW w:w="1100" w:type="dxa"/>
            <w:vAlign w:val="bottom"/>
            <w:gridSpan w:val="2"/>
          </w:tcPr>
          <w:p>
            <w:pPr>
              <w:jc w:val="right"/>
              <w:ind w:right="222"/>
              <w:spacing w:after="0"/>
              <w:rPr>
                <w:sz w:val="20"/>
                <w:szCs w:val="20"/>
                <w:color w:val="auto"/>
              </w:rPr>
            </w:pPr>
            <w:r>
              <w:rPr>
                <w:rFonts w:ascii="Arial" w:cs="Arial" w:eastAsia="Arial" w:hAnsi="Arial"/>
                <w:sz w:val="18"/>
                <w:szCs w:val="18"/>
                <w:color w:val="auto"/>
              </w:rPr>
              <w:t>20.5</w:t>
            </w:r>
          </w:p>
        </w:tc>
        <w:tc>
          <w:tcPr>
            <w:tcW w:w="1100" w:type="dxa"/>
            <w:vAlign w:val="bottom"/>
            <w:gridSpan w:val="2"/>
          </w:tcPr>
          <w:p>
            <w:pPr>
              <w:jc w:val="right"/>
              <w:ind w:right="182"/>
              <w:spacing w:after="0"/>
              <w:rPr>
                <w:sz w:val="20"/>
                <w:szCs w:val="20"/>
                <w:color w:val="auto"/>
              </w:rPr>
            </w:pPr>
            <w:r>
              <w:rPr>
                <w:rFonts w:ascii="Arial" w:cs="Arial" w:eastAsia="Arial" w:hAnsi="Arial"/>
                <w:sz w:val="18"/>
                <w:szCs w:val="18"/>
                <w:color w:val="auto"/>
              </w:rPr>
              <w:t>(34.8)</w:t>
            </w:r>
          </w:p>
        </w:tc>
        <w:tc>
          <w:tcPr>
            <w:tcW w:w="1100" w:type="dxa"/>
            <w:vAlign w:val="bottom"/>
            <w:gridSpan w:val="2"/>
          </w:tcPr>
          <w:p>
            <w:pPr>
              <w:jc w:val="right"/>
              <w:ind w:right="239"/>
              <w:spacing w:after="0"/>
              <w:rPr>
                <w:sz w:val="20"/>
                <w:szCs w:val="20"/>
                <w:color w:val="auto"/>
              </w:rPr>
            </w:pPr>
            <w:r>
              <w:rPr>
                <w:rFonts w:ascii="Arial" w:cs="Arial" w:eastAsia="Arial" w:hAnsi="Arial"/>
                <w:sz w:val="18"/>
                <w:szCs w:val="18"/>
                <w:color w:val="auto"/>
              </w:rPr>
              <w:t>45.4</w:t>
            </w:r>
          </w:p>
        </w:tc>
      </w:tr>
    </w:tbl>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these strategies require, we believe this ratio provides an enhanced view of our effectiveness in managing these costs and mitigates the impact of changing lumber prices.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3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ind w:right="238"/>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197"/>
              <w:spacing w:after="0" w:line="126" w:lineRule="exact"/>
              <w:rPr>
                <w:sz w:val="20"/>
                <w:szCs w:val="20"/>
                <w:color w:val="auto"/>
              </w:rPr>
            </w:pPr>
            <w:r>
              <w:rPr>
                <w:rFonts w:ascii="Arial" w:cs="Arial" w:eastAsia="Arial" w:hAnsi="Arial"/>
                <w:sz w:val="14"/>
                <w:szCs w:val="14"/>
                <w:b w:val="1"/>
                <w:bCs w:val="1"/>
                <w:color w:val="auto"/>
              </w:rPr>
              <w:t>June 25,</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ind w:right="239"/>
              <w:spacing w:after="0" w:line="126"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197"/>
              <w:spacing w:after="0" w:line="126" w:lineRule="exact"/>
              <w:rPr>
                <w:sz w:val="20"/>
                <w:szCs w:val="20"/>
                <w:color w:val="auto"/>
              </w:rPr>
            </w:pPr>
            <w:r>
              <w:rPr>
                <w:rFonts w:ascii="Arial" w:cs="Arial" w:eastAsia="Arial" w:hAnsi="Arial"/>
                <w:sz w:val="14"/>
                <w:szCs w:val="14"/>
                <w:b w:val="1"/>
                <w:bCs w:val="1"/>
                <w:color w:val="auto"/>
              </w:rPr>
              <w:t>June 25,</w:t>
            </w:r>
          </w:p>
        </w:tc>
      </w:tr>
      <w:tr>
        <w:trPr>
          <w:trHeight w:val="192"/>
        </w:trPr>
        <w:tc>
          <w:tcPr>
            <w:tcW w:w="3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758,396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981,815</w:t>
            </w: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w w:val="94"/>
              </w:rPr>
              <w:t>Selling, general, and administrative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204,703</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214,538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399,386</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434,688</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864"/>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7"/>
        </w:trPr>
        <w:tc>
          <w:tcPr>
            <w:tcW w:w="3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business segments consist of UFP Retail Solutions (“Retail”), UFP Packaging (“Packaging” and formerly known as UFP Industrial)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Business units are allocated among our Retail, Packaging,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July 1, 2023</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Construction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Corporate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2,043,918</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799,017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413,260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1,643,851</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400,067</w:t>
            </w:r>
          </w:p>
        </w:tc>
        <w:tc>
          <w:tcPr>
            <w:tcW w:w="0" w:type="dxa"/>
            <w:vAlign w:val="bottom"/>
          </w:tcPr>
          <w:p>
            <w:pPr>
              <w:spacing w:after="0"/>
              <w:rPr>
                <w:sz w:val="1"/>
                <w:szCs w:val="1"/>
                <w:color w:val="auto"/>
              </w:rPr>
            </w:pPr>
          </w:p>
        </w:tc>
      </w:tr>
      <w:tr>
        <w:trPr>
          <w:trHeight w:val="202"/>
        </w:trPr>
        <w:tc>
          <w:tcPr>
            <w:tcW w:w="20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61,377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74,083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204,703</w:t>
            </w: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Arial" w:cs="Arial" w:eastAsia="Arial" w:hAnsi="Arial"/>
                <w:sz w:val="18"/>
                <w:szCs w:val="18"/>
                <w:color w:val="auto"/>
              </w:rPr>
              <w:t>Earnings from</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60,180</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56,864</w:t>
            </w:r>
          </w:p>
        </w:tc>
        <w:tc>
          <w:tcPr>
            <w:tcW w:w="180" w:type="dxa"/>
            <w:vAlign w:val="bottom"/>
            <w:vMerge w:val="restart"/>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61,959</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6,817</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7,677</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193,497</w:t>
            </w:r>
          </w:p>
        </w:tc>
        <w:tc>
          <w:tcPr>
            <w:tcW w:w="0" w:type="dxa"/>
            <w:vAlign w:val="bottom"/>
          </w:tcPr>
          <w:p>
            <w:pPr>
              <w:spacing w:after="0"/>
              <w:rPr>
                <w:sz w:val="1"/>
                <w:szCs w:val="1"/>
                <w:color w:val="auto"/>
              </w:rPr>
            </w:pPr>
          </w:p>
        </w:tc>
      </w:tr>
      <w:tr>
        <w:trPr>
          <w:trHeight w:val="217"/>
        </w:trPr>
        <w:tc>
          <w:tcPr>
            <w:tcW w:w="202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5"/>
        </w:trPr>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25, 2022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Construction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Corporate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1,121,440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2,900,874</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1,048,260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514,216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748,060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2,397,421</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503,453</w:t>
            </w:r>
          </w:p>
        </w:tc>
        <w:tc>
          <w:tcPr>
            <w:tcW w:w="0" w:type="dxa"/>
            <w:vAlign w:val="bottom"/>
          </w:tcPr>
          <w:p>
            <w:pPr>
              <w:spacing w:after="0"/>
              <w:rPr>
                <w:sz w:val="1"/>
                <w:szCs w:val="1"/>
                <w:color w:val="auto"/>
              </w:rPr>
            </w:pPr>
          </w:p>
        </w:tc>
      </w:tr>
      <w:tr>
        <w:trPr>
          <w:trHeight w:val="202"/>
        </w:trPr>
        <w:tc>
          <w:tcPr>
            <w:tcW w:w="20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214,538</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Arial" w:cs="Arial" w:eastAsia="Arial" w:hAnsi="Arial"/>
                <w:sz w:val="18"/>
                <w:szCs w:val="18"/>
                <w:color w:val="auto"/>
              </w:rPr>
              <w:t>Earnings from</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24,527</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94,210</w:t>
            </w:r>
          </w:p>
        </w:tc>
        <w:tc>
          <w:tcPr>
            <w:tcW w:w="180" w:type="dxa"/>
            <w:vAlign w:val="bottom"/>
            <w:vMerge w:val="restart"/>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132,832</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22,748</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11,249</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285,566</w:t>
            </w:r>
          </w:p>
        </w:tc>
        <w:tc>
          <w:tcPr>
            <w:tcW w:w="0" w:type="dxa"/>
            <w:vAlign w:val="bottom"/>
          </w:tcPr>
          <w:p>
            <w:pPr>
              <w:spacing w:after="0"/>
              <w:rPr>
                <w:sz w:val="1"/>
                <w:szCs w:val="1"/>
                <w:color w:val="auto"/>
              </w:rPr>
            </w:pPr>
          </w:p>
        </w:tc>
      </w:tr>
      <w:tr>
        <w:trPr>
          <w:trHeight w:val="217"/>
        </w:trPr>
        <w:tc>
          <w:tcPr>
            <w:tcW w:w="202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8"/>
        </w:trPr>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4"/>
              </w:rPr>
              <w:t>Six Months Ended July 1, 2023</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Construction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Corporate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1,669,575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3,866,394</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1,454,156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735,528</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807,194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3,107,998</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258,863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758,396</w:t>
            </w:r>
          </w:p>
        </w:tc>
        <w:tc>
          <w:tcPr>
            <w:tcW w:w="0" w:type="dxa"/>
            <w:vAlign w:val="bottom"/>
          </w:tcPr>
          <w:p>
            <w:pPr>
              <w:spacing w:after="0"/>
              <w:rPr>
                <w:sz w:val="1"/>
                <w:szCs w:val="1"/>
                <w:color w:val="auto"/>
              </w:rPr>
            </w:pPr>
          </w:p>
        </w:tc>
      </w:tr>
      <w:tr>
        <w:trPr>
          <w:trHeight w:val="202"/>
        </w:trPr>
        <w:tc>
          <w:tcPr>
            <w:tcW w:w="20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127,629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399,386</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Foreign currency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loss</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Earnings from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101,236</w:t>
            </w:r>
          </w:p>
        </w:tc>
        <w:tc>
          <w:tcPr>
            <w:tcW w:w="1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111,596</w:t>
            </w:r>
          </w:p>
        </w:tc>
        <w:tc>
          <w:tcPr>
            <w:tcW w:w="1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116,207</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15,315</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355,205</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5"/>
        </w:trPr>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Six Months Ended June 25, 2022</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20" w:type="dxa"/>
            <w:vAlign w:val="bottom"/>
            <w:vMerge w:val="restart"/>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Construction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Corporate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2,114,672</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1,287,702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1,761,847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219,983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5,390,187</w:t>
            </w: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1,907,155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976,031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1,373,119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147,360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4,408,372</w:t>
            </w:r>
          </w:p>
        </w:tc>
        <w:tc>
          <w:tcPr>
            <w:tcW w:w="0" w:type="dxa"/>
            <w:vAlign w:val="bottom"/>
          </w:tcPr>
          <w:p>
            <w:pPr>
              <w:spacing w:after="0"/>
              <w:rPr>
                <w:sz w:val="1"/>
                <w:szCs w:val="1"/>
                <w:color w:val="auto"/>
              </w:rPr>
            </w:pPr>
          </w:p>
        </w:tc>
      </w:tr>
      <w:tr>
        <w:trPr>
          <w:trHeight w:val="217"/>
        </w:trPr>
        <w:tc>
          <w:tcPr>
            <w:tcW w:w="2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207,517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311,671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388,728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981,815</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134,466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434,688</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Earnings from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95,924</w:t>
            </w:r>
          </w:p>
        </w:tc>
        <w:tc>
          <w:tcPr>
            <w:tcW w:w="1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176,601</w:t>
            </w:r>
          </w:p>
        </w:tc>
        <w:tc>
          <w:tcPr>
            <w:tcW w:w="1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211,650</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37,563</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22,853</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544,591</w:t>
            </w:r>
          </w:p>
        </w:tc>
        <w:tc>
          <w:tcPr>
            <w:tcW w:w="0" w:type="dxa"/>
            <w:vAlign w:val="bottom"/>
          </w:tcPr>
          <w:p>
            <w:pPr>
              <w:spacing w:after="0"/>
              <w:rPr>
                <w:sz w:val="1"/>
                <w:szCs w:val="1"/>
                <w:color w:val="auto"/>
              </w:rPr>
            </w:pPr>
          </w:p>
        </w:tc>
      </w:tr>
      <w:tr>
        <w:trPr>
          <w:trHeight w:val="21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4"/>
                <w:szCs w:val="14"/>
                <w:b w:val="1"/>
                <w:bCs w:val="1"/>
                <w:color w:val="auto"/>
                <w:w w:val="94"/>
              </w:rPr>
              <w:t>Three Months Ended July 1, 2023</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Packaging</w:t>
            </w: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r>
      <w:tr>
        <w:trPr>
          <w:trHeight w:val="25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1"/>
                <w:szCs w:val="21"/>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20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25, 2022</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4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Packaging</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19"/>
                <w:szCs w:val="19"/>
                <w:color w:val="auto"/>
              </w:rPr>
            </w:pPr>
          </w:p>
        </w:tc>
      </w:tr>
      <w:tr>
        <w:trPr>
          <w:trHeight w:val="229"/>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top w:val="single" w:sz="8" w:color="CCEEFF"/>
            </w:tcBorders>
            <w:shd w:val="clear" w:color="auto" w:fill="CCEEFF"/>
          </w:tcPr>
          <w:p>
            <w:pPr>
              <w:spacing w:after="0"/>
              <w:rPr>
                <w:sz w:val="19"/>
                <w:szCs w:val="19"/>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200" w:type="dxa"/>
            <w:vAlign w:val="bottom"/>
            <w:tcBorders>
              <w:top w:val="single" w:sz="8" w:color="CCEEFF"/>
            </w:tcBorders>
          </w:tcPr>
          <w:p>
            <w:pPr>
              <w:jc w:val="center"/>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5"/>
              </w:rPr>
              <w:t>Six Months Ended July 1, 2023</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Packaging</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Construction</w:t>
            </w:r>
          </w:p>
        </w:tc>
        <w:tc>
          <w:tcPr>
            <w:tcW w:w="11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jc w:val="right"/>
              <w:ind w:right="53"/>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24"/>
                <w:szCs w:val="2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2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4"/>
                <w:szCs w:val="14"/>
                <w:b w:val="1"/>
                <w:bCs w:val="1"/>
                <w:color w:val="auto"/>
                <w:w w:val="92"/>
              </w:rPr>
              <w:t>Six Months Ended June 25, 2022</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Packaging</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20"/>
                <w:szCs w:val="20"/>
                <w:color w:val="auto"/>
              </w:rPr>
            </w:pPr>
          </w:p>
        </w:tc>
      </w:tr>
      <w:tr>
        <w:trPr>
          <w:trHeight w:val="203"/>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w:t>
            </w: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200" w:type="dxa"/>
            <w:vAlign w:val="bottom"/>
            <w:tcBorders>
              <w:top w:val="single" w:sz="8" w:color="CCEEFF"/>
            </w:tcBorders>
          </w:tcPr>
          <w:p>
            <w:pPr>
              <w:spacing w:after="0"/>
              <w:rPr>
                <w:sz w:val="17"/>
                <w:szCs w:val="17"/>
                <w:color w:val="auto"/>
              </w:rPr>
            </w:pPr>
          </w:p>
        </w:tc>
      </w:tr>
      <w:tr>
        <w:trPr>
          <w:trHeight w:val="202"/>
        </w:trPr>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for customized interior fixtures used in a variety of retail stores, commercial, and other structures; and structural wood packaging, components and packing materials for various industries. Our strategic long-term sales objectives include:</w:t>
      </w:r>
    </w:p>
    <w:p>
      <w:pPr>
        <w:spacing w:after="0" w:line="176" w:lineRule="exact"/>
        <w:rPr>
          <w:sz w:val="20"/>
          <w:szCs w:val="20"/>
          <w:color w:val="auto"/>
        </w:rPr>
      </w:pPr>
    </w:p>
    <w:p>
      <w:pPr>
        <w:jc w:val="both"/>
        <w:ind w:left="380" w:right="59" w:hanging="330"/>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xml:space="preserve"> The following table presents estimates, for the periods indicated, of our percentage change in net sales attributable to changes in overall selling prices versus changes in units shipped.</w:t>
      </w:r>
    </w:p>
    <w:p>
      <w:pPr>
        <w:spacing w:after="0" w:line="188" w:lineRule="exact"/>
        <w:rPr>
          <w:rFonts w:ascii="Arial" w:cs="Arial" w:eastAsia="Arial" w:hAnsi="Arial"/>
          <w:sz w:val="18"/>
          <w:szCs w:val="18"/>
          <w:color w:val="auto"/>
        </w:rPr>
      </w:pPr>
    </w:p>
    <w:p>
      <w:pPr>
        <w:ind w:left="6700" w:hanging="174"/>
        <w:spacing w:after="0"/>
        <w:tabs>
          <w:tab w:leader="none" w:pos="6700" w:val="left"/>
        </w:tabs>
        <w:numPr>
          <w:ilvl w:val="1"/>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7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in Selling</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in Sales</w:t>
            </w:r>
          </w:p>
        </w:tc>
        <w:tc>
          <w:tcPr>
            <w:tcW w:w="24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 Units</w:t>
            </w:r>
          </w:p>
        </w:tc>
        <w:tc>
          <w:tcPr>
            <w:tcW w:w="260" w:type="dxa"/>
            <w:vAlign w:val="bottom"/>
            <w:vMerge w:val="restart"/>
          </w:tcPr>
          <w:p>
            <w:pPr>
              <w:spacing w:after="0"/>
              <w:rPr>
                <w:sz w:val="12"/>
                <w:szCs w:val="12"/>
                <w:color w:val="auto"/>
              </w:rPr>
            </w:pPr>
          </w:p>
        </w:tc>
        <w:tc>
          <w:tcPr>
            <w:tcW w:w="10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Unit</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Prices</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2023 versus Second quarter 2022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Year-to-date 2023 versus Year-to-date 2022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right="5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structural wood and protective packaging to industrial users, increasing our penetration of the concrete forming market, and increasing our market share with independent retailers.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Expanding geographically in our core businesses</w:t>
      </w:r>
      <w:r>
        <w:rPr>
          <w:rFonts w:ascii="Arial" w:cs="Arial" w:eastAsia="Arial" w:hAnsi="Arial"/>
          <w:sz w:val="17"/>
          <w:szCs w:val="17"/>
          <w:color w:val="auto"/>
        </w:rPr>
        <w:t xml:space="preserve"> domestically and in our core packaging business internationally.</w:t>
      </w:r>
    </w:p>
    <w:p>
      <w:pPr>
        <w:spacing w:after="0" w:line="236" w:lineRule="exact"/>
        <w:rPr>
          <w:rFonts w:ascii="Arial" w:cs="Arial" w:eastAsia="Arial" w:hAnsi="Arial"/>
          <w:sz w:val="17"/>
          <w:szCs w:val="17"/>
          <w:color w:val="auto"/>
        </w:rPr>
      </w:pPr>
    </w:p>
    <w:p>
      <w:pPr>
        <w:jc w:val="both"/>
        <w:ind w:left="380" w:right="59" w:hanging="330"/>
        <w:spacing w:after="0" w:line="269"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 xml:space="preserve">Increasing our sales of “value-added” products and enhancing our product offering with new or improved products. </w:t>
      </w:r>
      <w:r>
        <w:rPr>
          <w:rFonts w:ascii="Arial" w:cs="Arial" w:eastAsia="Arial" w:hAnsi="Arial"/>
          <w:sz w:val="17"/>
          <w:szCs w:val="17"/>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85" w:lineRule="exact"/>
        <w:rPr>
          <w:sz w:val="20"/>
          <w:szCs w:val="20"/>
          <w:color w:val="auto"/>
        </w:rPr>
      </w:pPr>
    </w:p>
    <w:p>
      <w:pPr>
        <w:ind w:left="380" w:right="59"/>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by our segments: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222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Three Months Ended July 1, 2023</w:t>
            </w:r>
          </w:p>
        </w:tc>
        <w:tc>
          <w:tcPr>
            <w:tcW w:w="100" w:type="dxa"/>
            <w:vAlign w:val="bottom"/>
          </w:tcPr>
          <w:p>
            <w:pPr>
              <w:spacing w:after="0"/>
              <w:rPr>
                <w:sz w:val="15"/>
                <w:szCs w:val="15"/>
                <w:color w:val="auto"/>
              </w:rPr>
            </w:pPr>
          </w:p>
        </w:tc>
        <w:tc>
          <w:tcPr>
            <w:tcW w:w="24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25, 2022</w:t>
            </w:r>
          </w:p>
        </w:tc>
      </w:tr>
      <w:tr>
        <w:trPr>
          <w:trHeight w:val="169"/>
        </w:trPr>
        <w:tc>
          <w:tcPr>
            <w:tcW w:w="4160" w:type="dxa"/>
            <w:vAlign w:val="bottom"/>
          </w:tcPr>
          <w:p>
            <w:pPr>
              <w:spacing w:after="0"/>
              <w:rPr>
                <w:sz w:val="14"/>
                <w:szCs w:val="14"/>
                <w:color w:val="auto"/>
              </w:rPr>
            </w:pPr>
          </w:p>
        </w:tc>
        <w:tc>
          <w:tcPr>
            <w:tcW w:w="22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Value-Added   Commodity-Based</w:t>
            </w:r>
          </w:p>
        </w:tc>
        <w:tc>
          <w:tcPr>
            <w:tcW w:w="100" w:type="dxa"/>
            <w:vAlign w:val="bottom"/>
          </w:tcPr>
          <w:p>
            <w:pPr>
              <w:spacing w:after="0"/>
              <w:rPr>
                <w:sz w:val="14"/>
                <w:szCs w:val="14"/>
                <w:color w:val="auto"/>
              </w:rPr>
            </w:pPr>
          </w:p>
        </w:tc>
        <w:tc>
          <w:tcPr>
            <w:tcW w:w="23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Value-Added   Commodity-Based</w:t>
            </w:r>
          </w:p>
        </w:tc>
        <w:tc>
          <w:tcPr>
            <w:tcW w:w="100" w:type="dxa"/>
            <w:vAlign w:val="bottom"/>
          </w:tcPr>
          <w:p>
            <w:pPr>
              <w:spacing w:after="0"/>
              <w:rPr>
                <w:sz w:val="14"/>
                <w:szCs w:val="14"/>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960" w:type="dxa"/>
            <w:vAlign w:val="bottom"/>
          </w:tcPr>
          <w:p>
            <w:pPr>
              <w:jc w:val="right"/>
              <w:spacing w:after="0"/>
              <w:rPr>
                <w:sz w:val="20"/>
                <w:szCs w:val="20"/>
                <w:color w:val="auto"/>
              </w:rPr>
            </w:pPr>
            <w:r>
              <w:rPr>
                <w:rFonts w:ascii="Arial" w:cs="Arial" w:eastAsia="Arial" w:hAnsi="Arial"/>
                <w:sz w:val="18"/>
                <w:szCs w:val="18"/>
                <w:color w:val="auto"/>
              </w:rPr>
              <w:t>77.6 %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70.5 %</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29.5 %</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25.3 %</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960" w:type="dxa"/>
            <w:vAlign w:val="bottom"/>
          </w:tcPr>
          <w:p>
            <w:pPr>
              <w:jc w:val="right"/>
              <w:spacing w:after="0"/>
              <w:rPr>
                <w:sz w:val="20"/>
                <w:szCs w:val="20"/>
                <w:color w:val="auto"/>
              </w:rPr>
            </w:pPr>
            <w:r>
              <w:rPr>
                <w:rFonts w:ascii="Arial" w:cs="Arial" w:eastAsia="Arial" w:hAnsi="Arial"/>
                <w:sz w:val="18"/>
                <w:szCs w:val="18"/>
                <w:color w:val="auto"/>
              </w:rPr>
              <w:t>81.3 %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75.4 %</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960" w:type="dxa"/>
            <w:vAlign w:val="bottom"/>
          </w:tcPr>
          <w:p>
            <w:pPr>
              <w:jc w:val="right"/>
              <w:spacing w:after="0"/>
              <w:rPr>
                <w:sz w:val="20"/>
                <w:szCs w:val="20"/>
                <w:color w:val="auto"/>
              </w:rPr>
            </w:pPr>
            <w:r>
              <w:rPr>
                <w:rFonts w:ascii="Arial" w:cs="Arial" w:eastAsia="Arial" w:hAnsi="Arial"/>
                <w:sz w:val="18"/>
                <w:szCs w:val="18"/>
                <w:color w:val="auto"/>
              </w:rPr>
              <w:t>67.4 %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62.2 %</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37.8 %</w:t>
            </w:r>
          </w:p>
        </w:tc>
        <w:tc>
          <w:tcPr>
            <w:tcW w:w="100" w:type="dxa"/>
            <w:vAlign w:val="bottom"/>
          </w:tcPr>
          <w:p>
            <w:pPr>
              <w:spacing w:after="0"/>
              <w:rPr>
                <w:sz w:val="20"/>
                <w:szCs w:val="20"/>
                <w:color w:val="auto"/>
              </w:rPr>
            </w:pPr>
          </w:p>
        </w:tc>
      </w:tr>
      <w:tr>
        <w:trPr>
          <w:trHeight w:val="850"/>
        </w:trPr>
        <w:tc>
          <w:tcPr>
            <w:tcW w:w="4160" w:type="dxa"/>
            <w:vAlign w:val="bottom"/>
          </w:tcPr>
          <w:p>
            <w:pPr>
              <w:spacing w:after="0"/>
              <w:rPr>
                <w:sz w:val="24"/>
                <w:szCs w:val="24"/>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200" w:type="dxa"/>
            <w:vAlign w:val="bottom"/>
          </w:tcPr>
          <w:p>
            <w:pPr>
              <w:spacing w:after="0"/>
              <w:rPr>
                <w:sz w:val="15"/>
                <w:szCs w:val="15"/>
                <w:color w:val="auto"/>
              </w:rPr>
            </w:pPr>
          </w:p>
        </w:tc>
        <w:tc>
          <w:tcPr>
            <w:tcW w:w="22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Six Months Ended July 1, 2023</w:t>
            </w:r>
          </w:p>
        </w:tc>
        <w:tc>
          <w:tcPr>
            <w:tcW w:w="100" w:type="dxa"/>
            <w:vAlign w:val="bottom"/>
          </w:tcPr>
          <w:p>
            <w:pPr>
              <w:spacing w:after="0"/>
              <w:rPr>
                <w:sz w:val="15"/>
                <w:szCs w:val="15"/>
                <w:color w:val="auto"/>
              </w:rPr>
            </w:pPr>
          </w:p>
        </w:tc>
        <w:tc>
          <w:tcPr>
            <w:tcW w:w="240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25, 2022</w:t>
            </w:r>
          </w:p>
        </w:tc>
      </w:tr>
      <w:tr>
        <w:trPr>
          <w:trHeight w:val="169"/>
        </w:trPr>
        <w:tc>
          <w:tcPr>
            <w:tcW w:w="42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Value-Added</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Commodity-Based</w:t>
            </w:r>
          </w:p>
        </w:tc>
        <w:tc>
          <w:tcPr>
            <w:tcW w:w="100" w:type="dxa"/>
            <w:vAlign w:val="bottom"/>
          </w:tcPr>
          <w:p>
            <w:pPr>
              <w:spacing w:after="0"/>
              <w:rPr>
                <w:sz w:val="14"/>
                <w:szCs w:val="14"/>
                <w:color w:val="auto"/>
              </w:rPr>
            </w:pPr>
          </w:p>
        </w:tc>
        <w:tc>
          <w:tcPr>
            <w:tcW w:w="22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Value-Added   Commodity-Based</w:t>
            </w:r>
          </w:p>
        </w:tc>
        <w:tc>
          <w:tcPr>
            <w:tcW w:w="140" w:type="dxa"/>
            <w:vAlign w:val="bottom"/>
          </w:tcPr>
          <w:p>
            <w:pPr>
              <w:spacing w:after="0"/>
              <w:rPr>
                <w:sz w:val="14"/>
                <w:szCs w:val="14"/>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960" w:type="dxa"/>
            <w:vAlign w:val="bottom"/>
          </w:tcPr>
          <w:p>
            <w:pPr>
              <w:jc w:val="right"/>
              <w:spacing w:after="0"/>
              <w:rPr>
                <w:sz w:val="20"/>
                <w:szCs w:val="20"/>
                <w:color w:val="auto"/>
              </w:rPr>
            </w:pPr>
            <w:r>
              <w:rPr>
                <w:rFonts w:ascii="Arial" w:cs="Arial" w:eastAsia="Arial" w:hAnsi="Arial"/>
                <w:sz w:val="18"/>
                <w:szCs w:val="18"/>
                <w:color w:val="auto"/>
              </w:rPr>
              <w:t>77.3 %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14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40" w:type="dxa"/>
            <w:vAlign w:val="bottom"/>
            <w:shd w:val="clear" w:color="auto" w:fill="CCEEFF"/>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960" w:type="dxa"/>
            <w:vAlign w:val="bottom"/>
          </w:tcPr>
          <w:p>
            <w:pPr>
              <w:jc w:val="right"/>
              <w:spacing w:after="0"/>
              <w:rPr>
                <w:sz w:val="20"/>
                <w:szCs w:val="20"/>
                <w:color w:val="auto"/>
              </w:rPr>
            </w:pPr>
            <w:r>
              <w:rPr>
                <w:rFonts w:ascii="Arial" w:cs="Arial" w:eastAsia="Arial" w:hAnsi="Arial"/>
                <w:sz w:val="18"/>
                <w:szCs w:val="18"/>
                <w:color w:val="auto"/>
              </w:rPr>
              <w:t>79.6 %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73.9 %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14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40" w:type="dxa"/>
            <w:vAlign w:val="bottom"/>
            <w:shd w:val="clear" w:color="auto" w:fill="CCEEFF"/>
          </w:tcPr>
          <w:p>
            <w:pPr>
              <w:spacing w:after="0"/>
              <w:rPr>
                <w:sz w:val="18"/>
                <w:szCs w:val="18"/>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960" w:type="dxa"/>
            <w:vAlign w:val="bottom"/>
          </w:tcPr>
          <w:p>
            <w:pPr>
              <w:jc w:val="right"/>
              <w:spacing w:after="0"/>
              <w:rPr>
                <w:sz w:val="20"/>
                <w:szCs w:val="20"/>
                <w:color w:val="auto"/>
              </w:rPr>
            </w:pPr>
            <w:r>
              <w:rPr>
                <w:rFonts w:ascii="Arial" w:cs="Arial" w:eastAsia="Arial" w:hAnsi="Arial"/>
                <w:sz w:val="18"/>
                <w:szCs w:val="18"/>
                <w:color w:val="auto"/>
              </w:rPr>
              <w:t>67.5 %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60.5 %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39.5 %</w:t>
            </w:r>
          </w:p>
        </w:tc>
        <w:tc>
          <w:tcPr>
            <w:tcW w:w="140" w:type="dxa"/>
            <w:vAlign w:val="bottom"/>
          </w:tcPr>
          <w:p>
            <w:pPr>
              <w:spacing w:after="0"/>
              <w:rPr>
                <w:sz w:val="20"/>
                <w:szCs w:val="20"/>
                <w:color w:val="auto"/>
              </w:rPr>
            </w:pPr>
          </w:p>
        </w:tc>
      </w:tr>
    </w:tbl>
    <w:p>
      <w:pPr>
        <w:spacing w:after="0" w:line="142"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“value-added” resulted in a change in prior year’s sales.</w:t>
      </w:r>
    </w:p>
    <w:p>
      <w:pPr>
        <w:spacing w:after="0" w:line="178" w:lineRule="exact"/>
        <w:rPr>
          <w:sz w:val="20"/>
          <w:szCs w:val="20"/>
          <w:color w:val="auto"/>
        </w:rPr>
      </w:pPr>
    </w:p>
    <w:p>
      <w:pPr>
        <w:jc w:val="both"/>
        <w:ind w:left="380" w:right="59"/>
        <w:spacing w:after="0" w:line="311" w:lineRule="auto"/>
        <w:rPr>
          <w:sz w:val="20"/>
          <w:szCs w:val="20"/>
          <w:color w:val="auto"/>
        </w:rPr>
      </w:pPr>
      <w:r>
        <w:rPr>
          <w:rFonts w:ascii="Arial" w:cs="Arial" w:eastAsia="Arial" w:hAnsi="Arial"/>
          <w:sz w:val="16"/>
          <w:szCs w:val="16"/>
          <w:color w:val="auto"/>
        </w:rPr>
        <w:t>Our overall unit sales of value-added products decreased approximately 11% in the second quarter and first six months of 2023 compared to 2022. Our overall unit sales of commodity-based products decreased approximately 10% in the second quarter and approximately 7% in the first six months of 2023 compared to the same period last year.</w:t>
      </w:r>
    </w:p>
    <w:p>
      <w:pPr>
        <w:spacing w:after="0" w:line="149" w:lineRule="exact"/>
        <w:rPr>
          <w:sz w:val="20"/>
          <w:szCs w:val="20"/>
          <w:color w:val="auto"/>
        </w:rPr>
      </w:pPr>
    </w:p>
    <w:p>
      <w:pPr>
        <w:jc w:val="both"/>
        <w:ind w:left="380" w:right="59" w:hanging="330"/>
        <w:spacing w:after="0" w:line="25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Developing new products.</w:t>
      </w:r>
      <w:r>
        <w:rPr>
          <w:rFonts w:ascii="Arial" w:cs="Arial" w:eastAsia="Arial" w:hAnsi="Arial"/>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second quarter and first six months of 2023 decreased 9% and 8%, respectively, due to a decline in lumber prices which were passed to customers in our selling prices. Approximately $9.6 million of new product sales for the first six months of 2022, while still sold, were sunset in 2023 and excluded from the table below because they no longer meet the definition above. Our goal is to achieve annual new product sales of at least $795 million in 2023.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new product sales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left="604"/>
              <w:spacing w:after="0"/>
              <w:rPr>
                <w:sz w:val="20"/>
                <w:szCs w:val="20"/>
                <w:color w:val="auto"/>
              </w:rPr>
            </w:pPr>
            <w:r>
              <w:rPr>
                <w:rFonts w:ascii="Arial" w:cs="Arial" w:eastAsia="Arial" w:hAnsi="Arial"/>
                <w:sz w:val="14"/>
                <w:szCs w:val="14"/>
                <w:b w:val="1"/>
                <w:bCs w:val="1"/>
                <w:color w:val="auto"/>
                <w:w w:val="90"/>
              </w:rPr>
              <w:t>New Product Sales by Segment</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2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295"/>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9"/>
              </w:rPr>
              <w:t>% of Segment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tcPr>
          <w:p>
            <w:pPr>
              <w:ind w:left="320"/>
              <w:spacing w:after="0" w:line="126" w:lineRule="exact"/>
              <w:rPr>
                <w:sz w:val="20"/>
                <w:szCs w:val="20"/>
                <w:color w:val="auto"/>
              </w:rPr>
            </w:pPr>
            <w:r>
              <w:rPr>
                <w:rFonts w:ascii="Arial" w:cs="Arial" w:eastAsia="Arial" w:hAnsi="Arial"/>
                <w:sz w:val="14"/>
                <w:szCs w:val="14"/>
                <w:b w:val="1"/>
                <w:bCs w:val="1"/>
                <w:color w:val="auto"/>
              </w:rPr>
              <w:t>June 25,</w:t>
            </w:r>
          </w:p>
        </w:tc>
        <w:tc>
          <w:tcPr>
            <w:tcW w:w="980" w:type="dxa"/>
            <w:vAlign w:val="bottom"/>
            <w:gridSpan w:val="2"/>
          </w:tcPr>
          <w:p>
            <w:pPr>
              <w:jc w:val="right"/>
              <w:ind w:right="10"/>
              <w:spacing w:after="0" w:line="126" w:lineRule="exact"/>
              <w:rPr>
                <w:sz w:val="20"/>
                <w:szCs w:val="20"/>
                <w:color w:val="auto"/>
              </w:rPr>
            </w:pPr>
            <w:r>
              <w:rPr>
                <w:rFonts w:ascii="Arial" w:cs="Arial" w:eastAsia="Arial" w:hAnsi="Arial"/>
                <w:sz w:val="14"/>
                <w:szCs w:val="14"/>
                <w:b w:val="1"/>
                <w:bCs w:val="1"/>
                <w:color w:val="auto"/>
                <w:w w:val="92"/>
              </w:rPr>
              <w:t>% of Segment</w:t>
            </w:r>
          </w:p>
        </w:tc>
        <w:tc>
          <w:tcPr>
            <w:tcW w:w="22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0"/>
                <w:szCs w:val="10"/>
                <w:color w:val="auto"/>
              </w:rPr>
            </w:pPr>
          </w:p>
        </w:tc>
      </w:tr>
      <w:tr>
        <w:trPr>
          <w:trHeight w:val="178"/>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180" w:type="dxa"/>
            <w:vAlign w:val="bottom"/>
          </w:tcPr>
          <w:p>
            <w:pPr>
              <w:spacing w:after="0"/>
              <w:rPr>
                <w:sz w:val="15"/>
                <w:szCs w:val="15"/>
                <w:color w:val="auto"/>
              </w:rPr>
            </w:pPr>
          </w:p>
        </w:tc>
        <w:tc>
          <w:tcPr>
            <w:tcW w:w="14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 Sales</w:t>
            </w: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72,844</w:t>
            </w:r>
          </w:p>
        </w:tc>
        <w:tc>
          <w:tcPr>
            <w:tcW w:w="960" w:type="dxa"/>
            <w:vAlign w:val="bottom"/>
            <w:gridSpan w:val="2"/>
          </w:tcPr>
          <w:p>
            <w:pPr>
              <w:jc w:val="right"/>
              <w:ind w:right="24"/>
              <w:spacing w:after="0"/>
              <w:rPr>
                <w:sz w:val="20"/>
                <w:szCs w:val="20"/>
                <w:color w:val="auto"/>
              </w:rPr>
            </w:pPr>
            <w:r>
              <w:rPr>
                <w:rFonts w:ascii="Arial" w:cs="Arial" w:eastAsia="Arial" w:hAnsi="Arial"/>
                <w:sz w:val="18"/>
                <w:szCs w:val="18"/>
                <w:color w:val="auto"/>
              </w:rPr>
              <w:t>14.9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71,414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19"/>
                <w:szCs w:val="19"/>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26,698</w:t>
            </w:r>
          </w:p>
        </w:tc>
        <w:tc>
          <w:tcPr>
            <w:tcW w:w="9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960" w:type="dxa"/>
            <w:vAlign w:val="bottom"/>
            <w:gridSpan w:val="2"/>
          </w:tcPr>
          <w:p>
            <w:pPr>
              <w:jc w:val="right"/>
              <w:ind w:right="24"/>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9"/>
                <w:szCs w:val="19"/>
                <w:color w:val="auto"/>
              </w:rPr>
            </w:pPr>
          </w:p>
        </w:tc>
      </w:tr>
      <w:tr>
        <w:trPr>
          <w:trHeight w:val="216"/>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184,226</w:t>
            </w:r>
          </w:p>
        </w:tc>
        <w:tc>
          <w:tcPr>
            <w:tcW w:w="960" w:type="dxa"/>
            <w:vAlign w:val="bottom"/>
            <w:tcBorders>
              <w:top w:val="single" w:sz="8" w:color="CCEEFF"/>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left="604"/>
              <w:spacing w:after="0"/>
              <w:rPr>
                <w:sz w:val="20"/>
                <w:szCs w:val="20"/>
                <w:color w:val="auto"/>
              </w:rPr>
            </w:pPr>
            <w:r>
              <w:rPr>
                <w:rFonts w:ascii="Arial" w:cs="Arial" w:eastAsia="Arial" w:hAnsi="Arial"/>
                <w:sz w:val="14"/>
                <w:szCs w:val="14"/>
                <w:b w:val="1"/>
                <w:bCs w:val="1"/>
                <w:color w:val="auto"/>
                <w:w w:val="90"/>
              </w:rPr>
              <w:t>New Product Sales by Segment</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2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295"/>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1040" w:type="dxa"/>
            <w:vAlign w:val="bottom"/>
            <w:gridSpan w:val="2"/>
          </w:tcPr>
          <w:p>
            <w:pPr>
              <w:jc w:val="right"/>
              <w:ind w:right="10"/>
              <w:spacing w:after="0" w:line="126" w:lineRule="exact"/>
              <w:rPr>
                <w:sz w:val="20"/>
                <w:szCs w:val="20"/>
                <w:color w:val="auto"/>
              </w:rPr>
            </w:pPr>
            <w:r>
              <w:rPr>
                <w:rFonts w:ascii="Arial" w:cs="Arial" w:eastAsia="Arial" w:hAnsi="Arial"/>
                <w:sz w:val="14"/>
                <w:szCs w:val="14"/>
                <w:b w:val="1"/>
                <w:bCs w:val="1"/>
                <w:color w:val="auto"/>
                <w:w w:val="99"/>
              </w:rPr>
              <w:t>% of Segment</w:t>
            </w:r>
          </w:p>
        </w:tc>
        <w:tc>
          <w:tcPr>
            <w:tcW w:w="220" w:type="dxa"/>
            <w:vAlign w:val="bottom"/>
          </w:tcPr>
          <w:p>
            <w:pPr>
              <w:spacing w:after="0"/>
              <w:rPr>
                <w:sz w:val="10"/>
                <w:szCs w:val="10"/>
                <w:color w:val="auto"/>
              </w:rPr>
            </w:pPr>
          </w:p>
        </w:tc>
        <w:tc>
          <w:tcPr>
            <w:tcW w:w="1360" w:type="dxa"/>
            <w:vAlign w:val="bottom"/>
            <w:gridSpan w:val="3"/>
          </w:tcPr>
          <w:p>
            <w:pPr>
              <w:ind w:left="320"/>
              <w:spacing w:after="0" w:line="126" w:lineRule="exact"/>
              <w:rPr>
                <w:sz w:val="20"/>
                <w:szCs w:val="20"/>
                <w:color w:val="auto"/>
              </w:rPr>
            </w:pPr>
            <w:r>
              <w:rPr>
                <w:rFonts w:ascii="Arial" w:cs="Arial" w:eastAsia="Arial" w:hAnsi="Arial"/>
                <w:sz w:val="14"/>
                <w:szCs w:val="14"/>
                <w:b w:val="1"/>
                <w:bCs w:val="1"/>
                <w:color w:val="auto"/>
              </w:rPr>
              <w:t>June 25,</w:t>
            </w:r>
          </w:p>
        </w:tc>
        <w:tc>
          <w:tcPr>
            <w:tcW w:w="980" w:type="dxa"/>
            <w:vAlign w:val="bottom"/>
            <w:gridSpan w:val="2"/>
          </w:tcPr>
          <w:p>
            <w:pPr>
              <w:jc w:val="right"/>
              <w:ind w:right="10"/>
              <w:spacing w:after="0" w:line="126" w:lineRule="exact"/>
              <w:rPr>
                <w:sz w:val="20"/>
                <w:szCs w:val="20"/>
                <w:color w:val="auto"/>
              </w:rPr>
            </w:pPr>
            <w:r>
              <w:rPr>
                <w:rFonts w:ascii="Arial" w:cs="Arial" w:eastAsia="Arial" w:hAnsi="Arial"/>
                <w:sz w:val="14"/>
                <w:szCs w:val="14"/>
                <w:b w:val="1"/>
                <w:bCs w:val="1"/>
                <w:color w:val="auto"/>
                <w:w w:val="92"/>
              </w:rPr>
              <w:t>% of Segment</w:t>
            </w:r>
          </w:p>
        </w:tc>
        <w:tc>
          <w:tcPr>
            <w:tcW w:w="22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0"/>
                <w:szCs w:val="10"/>
                <w:color w:val="auto"/>
              </w:rPr>
            </w:pPr>
          </w:p>
        </w:tc>
      </w:tr>
      <w:tr>
        <w:trPr>
          <w:trHeight w:val="178"/>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5"/>
                <w:szCs w:val="15"/>
                <w:color w:val="auto"/>
              </w:rPr>
            </w:pPr>
          </w:p>
        </w:tc>
        <w:tc>
          <w:tcPr>
            <w:tcW w:w="13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 Sales</w:t>
            </w:r>
          </w:p>
        </w:tc>
      </w:tr>
      <w:tr>
        <w:trPr>
          <w:trHeight w:val="21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152,699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144,789</w:t>
            </w:r>
          </w:p>
        </w:tc>
        <w:tc>
          <w:tcPr>
            <w:tcW w:w="960" w:type="dxa"/>
            <w:vAlign w:val="bottom"/>
            <w:gridSpan w:val="2"/>
          </w:tcPr>
          <w:p>
            <w:pPr>
              <w:jc w:val="right"/>
              <w:ind w:right="24"/>
              <w:spacing w:after="0"/>
              <w:rPr>
                <w:sz w:val="20"/>
                <w:szCs w:val="20"/>
                <w:color w:val="auto"/>
              </w:rPr>
            </w:pPr>
            <w:r>
              <w:rPr>
                <w:rFonts w:ascii="Arial" w:cs="Arial" w:eastAsia="Arial" w:hAnsi="Arial"/>
                <w:sz w:val="18"/>
                <w:szCs w:val="18"/>
                <w:color w:val="auto"/>
              </w:rPr>
              <w:t>14.9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137,989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200" w:type="dxa"/>
            <w:vAlign w:val="bottom"/>
          </w:tcPr>
          <w:p>
            <w:pPr>
              <w:spacing w:after="0"/>
              <w:rPr>
                <w:sz w:val="18"/>
                <w:szCs w:val="18"/>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54,626</w:t>
            </w:r>
          </w:p>
        </w:tc>
        <w:tc>
          <w:tcPr>
            <w:tcW w:w="9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960" w:type="dxa"/>
            <w:vAlign w:val="bottom"/>
            <w:gridSpan w:val="2"/>
          </w:tcPr>
          <w:p>
            <w:pPr>
              <w:jc w:val="right"/>
              <w:ind w:right="24"/>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9"/>
                <w:szCs w:val="19"/>
                <w:color w:val="auto"/>
              </w:rPr>
            </w:pPr>
          </w:p>
        </w:tc>
      </w:tr>
      <w:tr>
        <w:trPr>
          <w:trHeight w:val="256"/>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352,717</w:t>
            </w:r>
          </w:p>
        </w:tc>
        <w:tc>
          <w:tcPr>
            <w:tcW w:w="960" w:type="dxa"/>
            <w:vAlign w:val="bottom"/>
            <w:tcBorders>
              <w:top w:val="single" w:sz="8" w:color="CCEEFF"/>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384,652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CCEEFF"/>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116"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100"/>
        <w:spacing w:after="0" w:line="255" w:lineRule="auto"/>
        <w:rPr>
          <w:sz w:val="20"/>
          <w:szCs w:val="20"/>
          <w:color w:val="auto"/>
        </w:rPr>
      </w:pPr>
      <w:r>
        <w:rPr>
          <w:rFonts w:ascii="Arial" w:cs="Arial" w:eastAsia="Arial" w:hAnsi="Arial"/>
          <w:sz w:val="18"/>
          <w:szCs w:val="18"/>
          <w:color w:val="auto"/>
        </w:rPr>
        <w:t>Net sales in the second quarter of 2023 decreased by 18% compared to the same period of 2022 due to a decline in selling prices.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increased approximately 5%, while unit sales to independent retailers, which we believe are more closely correlated to new housing starts, decreased approximately 20%.</w:t>
      </w:r>
    </w:p>
    <w:p>
      <w:pPr>
        <w:spacing w:after="0" w:line="192" w:lineRule="exact"/>
        <w:rPr>
          <w:sz w:val="20"/>
          <w:szCs w:val="20"/>
          <w:color w:val="auto"/>
        </w:rPr>
      </w:pPr>
    </w:p>
    <w:p>
      <w:pPr>
        <w:jc w:val="both"/>
        <w:ind w:left="60" w:right="100"/>
        <w:spacing w:after="0" w:line="277" w:lineRule="auto"/>
        <w:rPr>
          <w:sz w:val="20"/>
          <w:szCs w:val="20"/>
          <w:color w:val="auto"/>
        </w:rPr>
      </w:pPr>
      <w:r>
        <w:rPr>
          <w:rFonts w:ascii="Arial" w:cs="Arial" w:eastAsia="Arial" w:hAnsi="Arial"/>
          <w:sz w:val="18"/>
          <w:szCs w:val="18"/>
          <w:color w:val="auto"/>
        </w:rPr>
        <w:t>Gross profits increased by $47.8 million, or 65.3% to $121.0 million for the second quarter of 2023 compared to the same period last year. The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100" w:hanging="319"/>
        <w:spacing w:after="0" w:line="27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gross profits of our Sunbelt and ProWood business units increased by a total of $41.7 million. The products sold by these units consist primarily of pressure treated lumber sold at a variable price indexed to the lumber market at the time they are shipped. The improvement in profitability is primarily due to an increase in unit sales, Sunbelt’s greater utilization of our managed inventory programs, and the unfavorable impact declining lumber prices had on our pricing and profitability throughout the second quarter of 2022.</w:t>
      </w:r>
    </w:p>
    <w:p>
      <w:pPr>
        <w:spacing w:after="0" w:line="176" w:lineRule="exact"/>
        <w:rPr>
          <w:rFonts w:ascii="Arial" w:cs="Arial" w:eastAsia="Arial" w:hAnsi="Arial"/>
          <w:sz w:val="17"/>
          <w:szCs w:val="17"/>
          <w:color w:val="auto"/>
        </w:rPr>
      </w:pPr>
    </w:p>
    <w:p>
      <w:pPr>
        <w:ind w:left="720" w:right="100"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 of our Deckorators business unit increased by $6.8 million due to an increase in unit sales, an increase in new products, and operational improvements.</w:t>
      </w:r>
    </w:p>
    <w:p>
      <w:pPr>
        <w:spacing w:after="0" w:line="170" w:lineRule="exact"/>
        <w:rPr>
          <w:sz w:val="20"/>
          <w:szCs w:val="20"/>
          <w:color w:val="auto"/>
        </w:rPr>
      </w:pPr>
    </w:p>
    <w:p>
      <w:pPr>
        <w:jc w:val="both"/>
        <w:ind w:left="60" w:right="100"/>
        <w:spacing w:after="0" w:line="257" w:lineRule="auto"/>
        <w:rPr>
          <w:sz w:val="20"/>
          <w:szCs w:val="20"/>
          <w:color w:val="auto"/>
        </w:rPr>
      </w:pPr>
      <w:r>
        <w:rPr>
          <w:rFonts w:ascii="Arial" w:cs="Arial" w:eastAsia="Arial" w:hAnsi="Arial"/>
          <w:sz w:val="18"/>
          <w:szCs w:val="18"/>
          <w:color w:val="auto"/>
        </w:rPr>
        <w:t>SG&amp;A increased by approximately $12.5 million, or 25.8%, in the second quarter of 2023 compared to the same period of 2022. Accrued bonus expense, which varies with the overall profitability of the segment and return on investment, increased approximately $11.7 million from the second quarter of 2022 and totaled approximately $15.5 million for the quarter. Advertising expenses increased $1.7 million and were partially offset by a decrease in bad debt expense of $1.2 million.</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544" w:right="139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second quarter of 2023 compared to 2022 by $35.7 million, or 145.4%, as a result of the factors mentioned above.</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in the first six months of 2023 decreased by 21% compared to the same period of 2022, due to a 20% decrease in selling prices and a 1% organic unit decline. Our selling prices of variable-priced products declined due to lower lumber prices. The selling prices of these products are indexed to the lumber market at the time they are shipped. Additionally, unit sales to big box customers increased approximately 5%, while unit sales to independent retailers decreased approximately 19%.</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$7.9 million, or 3.8% to $215.4 million for the first six months of 2023 compared to the same period last year. Our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5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profits of our Sunbelt and ProWood business units increased $5.6 million, primarily due to less volatile lumber prices during the first six months of 2023 compared to severe volatility in the same period of 2022. The products sold by these units consist primarily of pressure treated lumber sold at a variable price indexed to the lumber market at the time they are shipped.</w:t>
      </w:r>
    </w:p>
    <w:p>
      <w:pPr>
        <w:spacing w:after="0" w:line="18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gross profit of our UFP Edge business unit decreased by $7.0 million due to decreases in unit sales.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gross profit of our Deckorators business unit increased by $9.3 million due to an increase in unit sales.</w:t>
      </w:r>
    </w:p>
    <w:p>
      <w:pPr>
        <w:spacing w:after="0" w:line="23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SG&amp;A increased by approximately $3.2 million, or 2.8%, in the first six months of 2023 compared to the same period of 2022. Accrued bonus expense, which varies with the overall profitability of the segment and return on investment, increased approximately $2.5 million and totaled approximately $26.9 million for the first six months of 2023. Increases in salaries and wages of $1.5 million and advertising expenses of $2.2 million were offset by decreases in sales incentive compensation of $2.7 million and bad debt expenses of $1.4 million.</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first six months of 2023 compared to 2022 by $5.3 million, or 5.5%,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in the second quarter of 2023 decreased 28% compared to the same period of 2022, due to a 21% decrease in selling prices and a 9% decrease in organic unit sales, offset by acquisition unit growth of 2%. The decrease in unit sales is primarily due to a decline in demand of existing customer accounts, which was partially offset by market share gains associated with new product sales and shipping to new locations of existing accounts. The decline in prices is due to competitive price pressure and lower lumber costs passed to customers.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decreased by $43.9 million, or 27.1%, for the second quarter of 2023 compared to the same period last year. The decrease in gross profits is primarily due to competitive price pressure due to lower demand as well as lower unit sales and unfavorable cost variances as a result of fixed manufacturing costs. Acquisitions contributed $3.0 million to gross profit.</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SG&amp;A decreased by approximately $5.9 million, or 8.7%, in the second quarter of 2023 compared to the same period of 2022. Accrued bonus expense, which varies with the overall profitability of the segment and return on investment, decreased approximately $3.6 million relative to the second quarter of 2022, and totaled $16.1 million for the quarter. Additionally, sales incentive compensation and bad debt expense decreased by $1.1 million and $6.7 million, respectively, from the prior year. These decreases were offset by increases in salaries and wages of $3.4 million and travel related expenses of $1.1 million. Acquired operations since the second quarter of 2022 contributed approximately $2.4 million to our SG&amp;A costs.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Packaging reportable segment decreased in the second quarter of 2023 compared to 2022 by $37.3 million, or 39.6%, due to the factors discussed above.</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in the first six months of 2023 decreased 24% compared to the same period of 2022, due to a 19% decrease in selling prices and a 7% decrease in organic unit sales, partially offset by acquisition unit growth of 2%. The decrease in unit sales is primarily due to a decline in demand of existing customer accounts, which was partially offset by market share gains associated with new product sales and shipping to new locations of existing accounts. The decline in prices is due to competitive price pressure and lower lumber costs passed to customers.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decreased by $72.5 million, or 23.3%, for the first six months of 2023 compared to the same period last year. The decrease in gross profits is primarily due to competitive price pressure due to lower demand as well as lower unit sales and unfavorable cost variances as a result of fixed manufacturing costs. Acquisitions contributed $5.4 million to gross profit.</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SG&amp;A decreased by approximately $6.8 million, or 5.1%, in the first six months of 2023 compared to the same period of 2022. Accrued bonus expense, which varies with the overall profitability of the segment and return on investment, decreased approximately $11.5 million, and totaled $31.9 million for the six months of 2023. Additionally, our bad debt expense decreased by $7.7 million and sales incentive compensation decreased by $3.7 million. These decreases were partially offset by increases in salaries and wages of $5.9 million, travel related expenses of $2.0 million, and several small increases in several different accounts. Finally, acquired operations since the first six months of 2022 contributed approximately $4.0 million to our increase in costs.</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Packaging reportable segment decreased in the first six months of 2023 compared to 2022 by $65.0 million, or 36.8%,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sales in the second quarter of 2023 decreased 44% compared to the same period of 2022, due to a 26% decrease in selling prices and an organic unit decline of 18%. Organic unit changes within this segment consist of decreases of 20% in factory-built housing, 14% in site-built construction, and 39% in commercial construction. Organic unit changes in our concrete forming business unit were flat compared to the same period of 2022. The organic unit declines in our factory-built housing and site-built construction business units are due to the impact of higher interest rates on the demand for housing which has resulted in an 8% year over year decline in national housing starts and a 25% year over year decline in manufactured housing production in the second quarter of 2023. The organic unit decline in commercial construction is primarily due to a large customer delaying shipments until the third quarter of 2023. As of July 1, 2023 and June 25, 2022, we estimate that our backlog of orders in our site-built construction business unit were $113 million and $161 million, respectively. The decline in pricing was due to competitive price pressure and the decline in lumber prices which were passed to our customers.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profits decreased by $90.1 million, or 39.6%, in the second quarter of 2023 compared to the same period of 2022.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decrease in our gross profit was comprised of the following:</w:t>
      </w:r>
    </w:p>
    <w:p>
      <w:pPr>
        <w:spacing w:after="0" w:line="211" w:lineRule="exact"/>
        <w:rPr>
          <w:sz w:val="20"/>
          <w:szCs w:val="20"/>
          <w:color w:val="auto"/>
        </w:rPr>
      </w:pPr>
    </w:p>
    <w:p>
      <w:pPr>
        <w:jc w:val="both"/>
        <w:ind w:left="720" w:right="5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profits in our factory-built housing and site-built construction business units decreased by $29.6 million and $51.6 million, respectively, due to competitive price pressure as well as lower sales volumes and unfavorable cost variances due to fixed manufacturing costs.</w:t>
      </w:r>
    </w:p>
    <w:p>
      <w:pPr>
        <w:spacing w:after="0" w:line="183" w:lineRule="exact"/>
        <w:rPr>
          <w:rFonts w:ascii="Arial" w:cs="Arial" w:eastAsia="Arial" w:hAnsi="Arial"/>
          <w:sz w:val="18"/>
          <w:szCs w:val="18"/>
          <w:color w:val="auto"/>
        </w:rPr>
      </w:pPr>
    </w:p>
    <w:p>
      <w:pPr>
        <w:ind w:left="720" w:right="5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decreased by $3.7 million due to lower inventory turnover on products whose unit selling prices declined due to the lower lumber market.</w:t>
      </w:r>
    </w:p>
    <w:p>
      <w:pPr>
        <w:spacing w:after="0" w:line="170" w:lineRule="exact"/>
        <w:rPr>
          <w:rFonts w:ascii="Arial" w:cs="Arial" w:eastAsia="Arial" w:hAnsi="Arial"/>
          <w:sz w:val="18"/>
          <w:szCs w:val="18"/>
          <w:color w:val="auto"/>
        </w:rPr>
      </w:pPr>
    </w:p>
    <w:p>
      <w:pPr>
        <w:ind w:left="720" w:right="5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decreased $4.3 million as a result of decreased unit sales.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SG&amp;A decreased by approximately $20.6 million, or 21.7%, in the second quarter of 2023 compared to the same period of 2022. Accrued bonus expense, which varies with the overall profitability of the segment and return on investment, decreased approximately $11.8 million, and totaled $16.9 million for the quarter. The remaining decrease was primarily due to decreases in sales incentive compensation of $6.9 million and bad debt expense of $1.0 million.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second quarter of 2023 compared to 2022 by $70.9 million, or 53.4%, due to the factors mentioned above.</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in the first six months of 2023 decreased 39% compared to the same period of 2022, due to a 22% decrease in selling prices and a decline in organic unit sales of 17%. Organic unit changes within this segment consisted of decreases of 18% in site-built housing, 20% in factory-built housing, and 20% in commercial construction. These declines were partially offset by 2% organic unit growth in concrete forming. The decline in pricing was due to competitive price pressure and the decline in lumber prices which were passed to our customers.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profits decreased by $129.9 million, or 33.4%, for the first six months of 2023 compared to the same period of 2022.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decrease in our gross profit was comprised of the following:</w:t>
      </w:r>
    </w:p>
    <w:p>
      <w:pPr>
        <w:spacing w:after="0" w:line="211" w:lineRule="exact"/>
        <w:rPr>
          <w:sz w:val="20"/>
          <w:szCs w:val="20"/>
          <w:color w:val="auto"/>
        </w:rPr>
      </w:pPr>
    </w:p>
    <w:p>
      <w:pPr>
        <w:jc w:val="both"/>
        <w:ind w:left="720" w:right="59" w:hanging="319"/>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profits in our factory-built housing and site-built construction business units decreased by $58.6 million and $65.1 million, respectively, due to competitive price pressure as well as lower sales volumes and unfavorable cost variances due to fixed manufacturing costs</w:t>
      </w:r>
    </w:p>
    <w:p>
      <w:pPr>
        <w:spacing w:after="0" w:line="183" w:lineRule="exact"/>
        <w:rPr>
          <w:rFonts w:ascii="Arial" w:cs="Arial" w:eastAsia="Arial" w:hAnsi="Arial"/>
          <w:sz w:val="18"/>
          <w:szCs w:val="18"/>
          <w:color w:val="auto"/>
        </w:rPr>
      </w:pPr>
    </w:p>
    <w:p>
      <w:pPr>
        <w:ind w:left="720" w:right="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decreased by $9.1 million due to lower inventory turnover on products whose unit selling prices declined due to the lower lumber market.</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SG&amp;A decreased by approximately $35.6 million, or 20.1%, in the first six months of 2023 compared to the same period of 2022. Accrued bonus expense, which varies with the overall profitability of the segment and return on investment, decreased approximately $19.7 million, and totaled $31.6 million for the first six months of 2023. The remaining decrease was primarily due to decreases in sales incentive compensation of $12.8 million, bad debt expense of $3.0 million, and professional fees of $1.8 million. These decreases were offset by small increases in several SG&amp;A accounts.</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first six months of 2023 compared to 2022 by $95.4 million, or 45.1%,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 The decline in sales and earnings from operations is primarily due to our operation in Mexico that exports moulding and millwork products to the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23.7% in the second quarter of 2023 compared to 25.0% in the same period of 2022 and was 23.7% in the first six months of 2023 compared to 24.5% for the same period in 2022. The decrease in our overall effective tax rate was primarily due to an increase in our tax deduction from stock based compensation accounted for as a permanent difference.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6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15"/>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w w:val="96"/>
              </w:rPr>
              <w:t>June 25,</w:t>
            </w:r>
          </w:p>
        </w:tc>
      </w:tr>
      <w:tr>
        <w:trPr>
          <w:trHeight w:val="178"/>
        </w:trPr>
        <w:tc>
          <w:tcPr>
            <w:tcW w:w="6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321,064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90,397</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(85,310)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(118,763)</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(97,047)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(125,013)</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all cash and cash equivalents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(152,423)</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559,623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291,223</w:t>
            </w:r>
          </w:p>
        </w:tc>
      </w:tr>
      <w:tr>
        <w:trPr>
          <w:trHeight w:val="21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702,909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138,800</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63 days from 58 days during the second quarter of 2023 compared to the prior year period.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15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700" w:type="dxa"/>
            <w:vAlign w:val="bottom"/>
          </w:tcPr>
          <w:p>
            <w:pPr>
              <w:spacing w:after="0"/>
              <w:rPr>
                <w:sz w:val="10"/>
                <w:szCs w:val="10"/>
                <w:color w:val="auto"/>
              </w:rPr>
            </w:pPr>
          </w:p>
        </w:tc>
        <w:tc>
          <w:tcPr>
            <w:tcW w:w="66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9"/>
              </w:rPr>
              <w:t>June 25,</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4"/>
                <w:szCs w:val="14"/>
                <w:b w:val="1"/>
                <w:bCs w:val="1"/>
                <w:color w:val="auto"/>
              </w:rPr>
              <w:t>July 1,</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June 25,</w:t>
            </w:r>
          </w:p>
        </w:tc>
      </w:tr>
      <w:tr>
        <w:trPr>
          <w:trHeight w:val="178"/>
        </w:trPr>
        <w:tc>
          <w:tcPr>
            <w:tcW w:w="5700" w:type="dxa"/>
            <w:vAlign w:val="bottom"/>
          </w:tcPr>
          <w:p>
            <w:pPr>
              <w:spacing w:after="0"/>
              <w:rPr>
                <w:sz w:val="15"/>
                <w:szCs w:val="15"/>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2023</w:t>
            </w:r>
          </w:p>
        </w:tc>
        <w:tc>
          <w:tcPr>
            <w:tcW w:w="8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2022</w:t>
            </w: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Days of sales outstanding</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Days supply of inventory</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Days payables outstanding</w:t>
            </w:r>
            <w:r>
              <w:rPr>
                <w:rFonts w:ascii="Arial" w:cs="Arial" w:eastAsia="Arial" w:hAnsi="Arial"/>
                <w:sz w:val="26"/>
                <w:szCs w:val="26"/>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3"/>
        </w:trPr>
        <w:tc>
          <w:tcPr>
            <w:tcW w:w="57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Days in cash cycle</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20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r>
      <w:tr>
        <w:trPr>
          <w:trHeight w:val="20"/>
        </w:trPr>
        <w:tc>
          <w:tcPr>
            <w:tcW w:w="5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left="60" w:right="59" w:hanging="10"/>
        <w:spacing w:after="0" w:line="233" w:lineRule="auto"/>
        <w:tabs>
          <w:tab w:leader="none" w:pos="180" w:val="left"/>
        </w:tabs>
        <w:numPr>
          <w:ilvl w:val="0"/>
          <w:numId w:val="27"/>
        </w:numPr>
        <w:rPr>
          <w:rFonts w:ascii="Arial" w:cs="Arial" w:eastAsia="Arial" w:hAnsi="Arial"/>
          <w:sz w:val="13"/>
          <w:szCs w:val="13"/>
          <w:color w:val="auto"/>
        </w:rPr>
      </w:pPr>
      <w:r>
        <w:rPr>
          <w:rFonts w:ascii="Arial" w:cs="Arial" w:eastAsia="Arial" w:hAnsi="Arial"/>
          <w:sz w:val="14"/>
          <w:szCs w:val="14"/>
          <w:color w:val="auto"/>
        </w:rPr>
        <w:t>We’ve modified our calculation of days payables outstanding to be based on the cost of goods sold and accounts payable balances in our monthly financial statements. In prior periods, our calculation was based on invoice data. We’ve made this change to simplify the calculation and more easily integrate acquired operations into our financial metrics. The three months and six months prior year metrics have been restated for the new method which reduced days payables from a previously reported 18 days to 11 days and 19 to 13 days, respectively.</w:t>
      </w:r>
    </w:p>
    <w:p>
      <w:pPr>
        <w:spacing w:after="0" w:line="18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increase in our cash cycle in the second quarter of 2023 compared to the same period of 2022 was primarily due to a three day increase in our days supply of inventory and a two day increase in our days of sales outstanding. The increase in our days supply of inventory is due to carrying higher levels of safety stock and a drop in demand, primarily in our factory-built housing business unit. The increase in our days of sales outstanding is due to receiving slightly less timely payments from our customers, primarily in our site-built construction business unit. We continue to focus on past due account balances with customers, and the percentage of our accounts receivable that are current is 94% at the end of the second quarter for both 2023 and 2022.</w:t>
      </w:r>
    </w:p>
    <w:p>
      <w:pPr>
        <w:spacing w:after="0" w:line="17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first six months of 2023, our cash flows from operations were $321 million and were comprised of net earnings of $276 million and $80 million of non-cash expenses, offset by a $35 million increase in working capital since the end of December 2022. Our cash flows from operations increased by $231 million compared to the same period of last year primarily due to a $349 million decrease in our seasonal investment in net working capital compared to the prior year period, offset by a decrease in our net earnings and non-cash expenses of $118 million. The seasonal increase in our net working capital was lower this year due to the drop in lumber prices and the softening of demand.</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Purchases of property, plant, and equipment of $85 million comprised most of our cash used in investing activities during the first six months of 2023. Outstanding purchase commitments on existing capital projects totaled approximately $66 million on July 1, 2023. Capital spending primarily consists of several projects to expand capacity to manufacture new and value-added products, primarily in our Packaging segment and Deckorators and ProWood business units, achieve efficiencies through automation in all segments, make improvements to a number of facilities, and increase our transportation capacity (tractors, trailers). We intend to fund capital expenditures and purchase commitments through our operating cash flows for the balance of the year. While we maintain an active pipeline of targets, we completed no acquisitions during the first six months of 2023. Cash used for acquisitions in the same period of the prior year amounted to $39 million.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used in financing activities consisted of:</w:t>
      </w:r>
    </w:p>
    <w:p>
      <w:pPr>
        <w:spacing w:after="0" w:line="225" w:lineRule="exact"/>
        <w:rPr>
          <w:sz w:val="20"/>
          <w:szCs w:val="20"/>
          <w:color w:val="auto"/>
        </w:rPr>
      </w:pPr>
    </w:p>
    <w:p>
      <w:pPr>
        <w:ind w:left="780" w:right="59" w:hanging="334"/>
        <w:spacing w:after="0" w:line="277"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paid for repurchases of common stock of $55 million. We repurchased 700,597 shares of our common stock for the year at an average share price of $79.20.</w:t>
      </w:r>
    </w:p>
    <w:p>
      <w:pPr>
        <w:spacing w:after="0" w:line="170" w:lineRule="exact"/>
        <w:rPr>
          <w:rFonts w:ascii="Arial" w:cs="Arial" w:eastAsia="Arial" w:hAnsi="Arial"/>
          <w:sz w:val="18"/>
          <w:szCs w:val="18"/>
          <w:color w:val="auto"/>
        </w:rPr>
      </w:pPr>
    </w:p>
    <w:p>
      <w:pPr>
        <w:ind w:left="780" w:right="59" w:hanging="334"/>
        <w:spacing w:after="0" w:line="277"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Dividends paid during the first six months of 2023 include first quarter dividends of $16 million and second quarter dividends of $15 million ($0.25 per share).</w:t>
      </w:r>
    </w:p>
    <w:p>
      <w:pPr>
        <w:spacing w:after="0" w:line="170" w:lineRule="exact"/>
        <w:rPr>
          <w:rFonts w:ascii="Arial" w:cs="Arial" w:eastAsia="Arial" w:hAnsi="Arial"/>
          <w:sz w:val="18"/>
          <w:szCs w:val="18"/>
          <w:color w:val="auto"/>
        </w:rPr>
      </w:pPr>
    </w:p>
    <w:p>
      <w:pPr>
        <w:ind w:left="780" w:hanging="334"/>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Contingent consideration payments of $6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780" w:hanging="33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to noncontrolling interests were $5 million.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July 1, 2023, we had $5 million outstanding on our $750 million revolving credit facility, and we had approximately $718 million in remaining availability after considering $27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July 1, 2023.</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At the end of the second quarter of 2023, we have approximately $2.0 billion in total liquidity, consisting of our cash surplus, remaining availability under our revolving credit facility, and a shelf agreement with certain lenders providing up to $535 million in remaining borrowing capacity.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31,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Most recently, our </w:t>
      </w:r>
      <w:r>
        <w:rPr>
          <w:rFonts w:ascii="Arial" w:cs="Arial" w:eastAsia="Arial" w:hAnsi="Arial"/>
          <w:sz w:val="18"/>
          <w:szCs w:val="18"/>
          <w:u w:val="single" w:color="auto"/>
          <w:color w:val="auto"/>
        </w:rPr>
        <w:t>long-term goals</w:t>
      </w:r>
      <w:r>
        <w:rPr>
          <w:rFonts w:ascii="Arial" w:cs="Arial" w:eastAsia="Arial" w:hAnsi="Arial"/>
          <w:sz w:val="18"/>
          <w:szCs w:val="18"/>
          <w:color w:val="auto"/>
        </w:rPr>
        <w:t xml:space="preserve"> have been to:</w:t>
      </w:r>
    </w:p>
    <w:p>
      <w:pPr>
        <w:spacing w:after="0" w:line="117" w:lineRule="exact"/>
        <w:rPr>
          <w:sz w:val="20"/>
          <w:szCs w:val="20"/>
          <w:color w:val="auto"/>
        </w:rPr>
      </w:pPr>
    </w:p>
    <w:p>
      <w:pPr>
        <w:ind w:left="720" w:right="11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 our annual unit sales by 5-7%. We anticipate smaller tuck in acquisitions will continue to contribute toward this goal;</w:t>
      </w:r>
    </w:p>
    <w:p>
      <w:pPr>
        <w:spacing w:after="0" w:line="62" w:lineRule="exact"/>
        <w:rPr>
          <w:rFonts w:ascii="Arial" w:cs="Arial" w:eastAsia="Arial" w:hAnsi="Arial"/>
          <w:sz w:val="18"/>
          <w:szCs w:val="18"/>
          <w:color w:val="auto"/>
        </w:rPr>
      </w:pPr>
    </w:p>
    <w:p>
      <w:pPr>
        <w:ind w:left="720" w:right="39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Achieve and sustain a minimum 10% adjusted EBITDA margin by continuing to enhance our capabilities and grow our portfolio and sales of value-added products;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 an incremental return on new investment over our cost of capital;</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 conservative capital structure.</w:t>
      </w:r>
    </w:p>
    <w:p>
      <w:pPr>
        <w:spacing w:after="0" w:line="225"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We believe effectively executing our strategies will allow us to achieve these long-term goals in the future. However, demand in the markets we serve has contracted and overall economic conditions indicate the U.S. economy may enter a recession, which may impact our results, depending on its severity and duration. The following factors should be considered when evaluating our future results:</w:t>
      </w:r>
    </w:p>
    <w:p>
      <w:pPr>
        <w:spacing w:after="0" w:line="79" w:lineRule="exact"/>
        <w:rPr>
          <w:sz w:val="20"/>
          <w:szCs w:val="20"/>
          <w:color w:val="auto"/>
        </w:rPr>
      </w:pPr>
    </w:p>
    <w:p>
      <w:pPr>
        <w:ind w:left="720" w:right="59" w:hanging="319"/>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Lumber prices, which impact our cost of goods sold and selling prices, have normalized due to additional capacity added by sawmills and demand falling from peak levels due to inflation and an increase in interest rates. We anticipate lumber prices will follow more typical seasonal patterns consistent with historical trends and demand, and remain at lower levels in 2023 relative to 2022.</w:t>
      </w:r>
    </w:p>
    <w:p>
      <w:pPr>
        <w:spacing w:after="0" w:line="78" w:lineRule="exact"/>
        <w:rPr>
          <w:rFonts w:ascii="Arial" w:cs="Arial" w:eastAsia="Arial" w:hAnsi="Arial"/>
          <w:sz w:val="18"/>
          <w:szCs w:val="18"/>
          <w:color w:val="auto"/>
        </w:rPr>
      </w:pPr>
    </w:p>
    <w:p>
      <w:pPr>
        <w:ind w:left="720" w:right="79" w:hanging="319"/>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Retail sales accounted for 43% of our net sales for the first six months of 2023. When evaluating future demand for the segment, we analyze data such as the same-store sales growth of national home improvement retailers and forecasts of home remodeling activity. Based on this data, we anticipate market demand to be flat to slightly down for the balance of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720" w:right="119" w:hanging="319"/>
        <w:spacing w:after="0" w:line="311"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Packaging sales accounted for 25% of our net sales for the first six months of 2023. When evaluating future demand, we consider several metrics, including the Purchasing Managers Index (PMI), durable goods manufacturing, and U.S. real GDP. We estimate industrial production to be slightly down for the balance of 2023.</w:t>
      </w:r>
    </w:p>
    <w:p>
      <w:pPr>
        <w:spacing w:after="0" w:line="40" w:lineRule="exact"/>
        <w:rPr>
          <w:rFonts w:ascii="Arial" w:cs="Arial" w:eastAsia="Arial" w:hAnsi="Arial"/>
          <w:sz w:val="16"/>
          <w:szCs w:val="16"/>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sales accounted for 28% of our net sales for the first six months of 2023.</w:t>
      </w:r>
    </w:p>
    <w:p>
      <w:pPr>
        <w:spacing w:after="0" w:line="117" w:lineRule="exact"/>
        <w:rPr>
          <w:rFonts w:ascii="Arial" w:cs="Arial" w:eastAsia="Arial" w:hAnsi="Arial"/>
          <w:sz w:val="18"/>
          <w:szCs w:val="18"/>
          <w:color w:val="auto"/>
        </w:rPr>
      </w:pPr>
    </w:p>
    <w:p>
      <w:pPr>
        <w:ind w:left="1380" w:right="119" w:hanging="331"/>
        <w:spacing w:after="0" w:line="254"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site-built business unit accounted for approximately 12% of our net sales for the first six months of 2023. Approximately 30% of site-built sales are to multifamily builders. More than 75% of our site-built residential housing sales are in areas such as Texas and the Mid-Atlantic, Southeast, and Mountain West regions, which have experienced significant population growth through migration from other states and are forecasted to continue to grow over the long term. When evaluating future demand, we analyze data from housing starts in those regions. The consensus estimates of all housing starts is for a 12% to 15% decline in 2023.</w:t>
      </w:r>
    </w:p>
    <w:p>
      <w:pPr>
        <w:spacing w:after="0" w:line="86"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factory-built housing business unit accounted for 9% of our net sales for the first six months of</w:t>
      </w:r>
    </w:p>
    <w:p>
      <w:pPr>
        <w:spacing w:after="0" w:line="34" w:lineRule="exact"/>
        <w:rPr>
          <w:rFonts w:ascii="Arial" w:cs="Arial" w:eastAsia="Arial" w:hAnsi="Arial"/>
          <w:sz w:val="17"/>
          <w:szCs w:val="17"/>
          <w:color w:val="auto"/>
        </w:rPr>
      </w:pPr>
    </w:p>
    <w:p>
      <w:pPr>
        <w:ind w:left="1380" w:right="99"/>
        <w:spacing w:after="0" w:line="253" w:lineRule="auto"/>
        <w:rPr>
          <w:rFonts w:ascii="Arial" w:cs="Arial" w:eastAsia="Arial" w:hAnsi="Arial"/>
          <w:sz w:val="17"/>
          <w:szCs w:val="17"/>
          <w:color w:val="auto"/>
        </w:rPr>
      </w:pPr>
      <w:r>
        <w:rPr>
          <w:rFonts w:ascii="Arial" w:cs="Arial" w:eastAsia="Arial" w:hAnsi="Arial"/>
          <w:sz w:val="18"/>
          <w:szCs w:val="18"/>
          <w:color w:val="auto"/>
        </w:rPr>
        <w:t>2023. This business, along with our multifamily business, could benefit from higher interest rates as buyers seek more affordable housing alternatives over time. When evaluating future demand, we analyze manufactured housing production data. The National Association of Home Builders forecasts a 24% decrease in manufactured home shipments in 2023.</w:t>
      </w:r>
    </w:p>
    <w:p>
      <w:pPr>
        <w:spacing w:after="0" w:line="84" w:lineRule="exact"/>
        <w:rPr>
          <w:rFonts w:ascii="Arial" w:cs="Arial" w:eastAsia="Arial" w:hAnsi="Arial"/>
          <w:sz w:val="17"/>
          <w:szCs w:val="17"/>
          <w:color w:val="auto"/>
        </w:rPr>
      </w:pPr>
    </w:p>
    <w:p>
      <w:pPr>
        <w:ind w:left="1380" w:right="319" w:hanging="331"/>
        <w:spacing w:after="0" w:line="26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commercial construction and concrete forming business units accounted for approximately 6% of our net sales for the first six months of 2023. When evaluating future demand, we analyze data from non-residential construction spending.</w:t>
      </w:r>
    </w:p>
    <w:p>
      <w:pPr>
        <w:spacing w:after="0" w:line="75" w:lineRule="exact"/>
        <w:rPr>
          <w:rFonts w:ascii="Arial" w:cs="Arial" w:eastAsia="Arial" w:hAnsi="Arial"/>
          <w:sz w:val="18"/>
          <w:szCs w:val="18"/>
          <w:color w:val="auto"/>
        </w:rPr>
      </w:pPr>
    </w:p>
    <w:p>
      <w:pPr>
        <w:ind w:left="720" w:right="199" w:hanging="319"/>
        <w:spacing w:after="0" w:line="272"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 consolidated basis, and based on our 2023 forecasted results of operations and business mix, we currently believe our annual decremental operating margin is in a range of 10% to 15% of net sales (revised from original estimate of 15% to 20%). In other words, we believe for every dollar decrease in sales, relative to the prior year, our earnings from operations may decline by $0.10 to $0.15. Our decremental operating margin for the first six months of 2023 was 12.4%. As a point of reference, our peak to trough decremental operating margin during the Great Recession was approximately 13.5% (2006 peak to 2011 trough). We currently estimate our annual decremental operating margins by segment as follows:</w:t>
      </w:r>
    </w:p>
    <w:p>
      <w:pPr>
        <w:spacing w:after="0" w:line="69" w:lineRule="exact"/>
        <w:rPr>
          <w:rFonts w:ascii="Arial" w:cs="Arial" w:eastAsia="Arial" w:hAnsi="Arial"/>
          <w:sz w:val="17"/>
          <w:szCs w:val="17"/>
          <w:color w:val="auto"/>
        </w:rPr>
      </w:pPr>
    </w:p>
    <w:p>
      <w:pPr>
        <w:ind w:left="1380" w:right="53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Packaging in a range of 20% to 25% (which was our original estimate). Our decremental operating margin for the first six months of 2023 was 20.8%.</w:t>
      </w:r>
    </w:p>
    <w:p>
      <w:pPr>
        <w:spacing w:after="0" w:line="62" w:lineRule="exact"/>
        <w:rPr>
          <w:rFonts w:ascii="Arial" w:cs="Arial" w:eastAsia="Arial" w:hAnsi="Arial"/>
          <w:sz w:val="18"/>
          <w:szCs w:val="18"/>
          <w:color w:val="auto"/>
        </w:rPr>
      </w:pPr>
    </w:p>
    <w:p>
      <w:pPr>
        <w:ind w:left="1380" w:right="7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Construction in a range of 14% to 19% (revised from original estimate of 20% to 25%). Our decremental operating margin for the first six months of 2023 was 13.7%.</w:t>
      </w:r>
    </w:p>
    <w:p>
      <w:pPr>
        <w:spacing w:after="0" w:line="62" w:lineRule="exact"/>
        <w:rPr>
          <w:rFonts w:ascii="Arial" w:cs="Arial" w:eastAsia="Arial" w:hAnsi="Arial"/>
          <w:sz w:val="18"/>
          <w:szCs w:val="18"/>
          <w:color w:val="auto"/>
        </w:rPr>
      </w:pPr>
    </w:p>
    <w:p>
      <w:pPr>
        <w:ind w:left="1380" w:right="119" w:hanging="331"/>
        <w:spacing w:after="0" w:line="311" w:lineRule="auto"/>
        <w:tabs>
          <w:tab w:leader="none" w:pos="13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We currently anticipate improvement in operating profits in our Retail segment in 2023, primarily due to an expectation of less volatile lumber prices in 2023 and other operational improvements. The severe volatility of lumber prices in 2022 and 2021 adversely impacted the results of this segment.</w:t>
      </w:r>
    </w:p>
    <w:p>
      <w:pPr>
        <w:spacing w:after="0" w:line="40" w:lineRule="exact"/>
        <w:rPr>
          <w:rFonts w:ascii="Arial" w:cs="Arial" w:eastAsia="Arial" w:hAnsi="Arial"/>
          <w:sz w:val="16"/>
          <w:szCs w:val="16"/>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Key factors that may impact the ranges provided above include estimates of:</w:t>
      </w:r>
    </w:p>
    <w:p>
      <w:pPr>
        <w:spacing w:after="0" w:line="117" w:lineRule="exact"/>
        <w:rPr>
          <w:rFonts w:ascii="Arial" w:cs="Arial" w:eastAsia="Arial" w:hAnsi="Arial"/>
          <w:sz w:val="18"/>
          <w:szCs w:val="18"/>
          <w:color w:val="auto"/>
        </w:rPr>
      </w:pPr>
    </w:p>
    <w:p>
      <w:pPr>
        <w:ind w:left="1380" w:right="15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impact and level of the Lumber Market and trends in the commodity and other material costs of our products</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our selling prices</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our sales mix by segment, business unit, and product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labor rates</w:t>
      </w:r>
    </w:p>
    <w:p>
      <w:pPr>
        <w:spacing w:after="0" w:line="117" w:lineRule="exact"/>
        <w:rPr>
          <w:rFonts w:ascii="Arial" w:cs="Arial" w:eastAsia="Arial" w:hAnsi="Arial"/>
          <w:sz w:val="18"/>
          <w:szCs w:val="18"/>
          <w:color w:val="auto"/>
        </w:rPr>
      </w:pPr>
    </w:p>
    <w:p>
      <w:pPr>
        <w:ind w:left="1380" w:right="79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ability to reduce variable manufacturing, freight, selling, general, and administrative costs, particularly certain personnel costs, in line with net sales</w:t>
      </w:r>
    </w:p>
    <w:p>
      <w:pPr>
        <w:spacing w:after="0" w:line="62" w:lineRule="exact"/>
        <w:rPr>
          <w:rFonts w:ascii="Arial" w:cs="Arial" w:eastAsia="Arial" w:hAnsi="Arial"/>
          <w:sz w:val="18"/>
          <w:szCs w:val="18"/>
          <w:color w:val="auto"/>
        </w:rPr>
      </w:pPr>
    </w:p>
    <w:p>
      <w:pPr>
        <w:ind w:left="1380" w:right="49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results of our salaried bonus plan, which is based on pre-bonus profits and achieving minimum levels of pre-bonus return on investment over a required hurdle rate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099" w:firstLine="989"/>
        <w:spacing w:after="0" w:line="375" w:lineRule="auto"/>
        <w:tabs>
          <w:tab w:leader="none" w:pos="13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Inflation and other changes in costs Capital Allocation:</w:t>
      </w:r>
    </w:p>
    <w:p>
      <w:pPr>
        <w:spacing w:after="0" w:line="1"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auto"/>
        </w:rPr>
        <w:t>We believe the strength of our cash flow generation and conservative capital structure provides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41" w:lineRule="exact"/>
        <w:rPr>
          <w:sz w:val="20"/>
          <w:szCs w:val="20"/>
          <w:color w:val="auto"/>
        </w:rPr>
      </w:pPr>
    </w:p>
    <w:p>
      <w:pPr>
        <w:ind w:left="720" w:right="259" w:hanging="319"/>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July 26, 2023, our board approved a quarterly cash dividend of $0.30 per share, which represents a 20% increase from the prior year. This dividend will be payable on September 15, 2023, to shareholders of record on September 1, 2023. We continue to consider our payout ratio and yield when determining the appropriate dividend rate.</w:t>
      </w:r>
    </w:p>
    <w:p>
      <w:pPr>
        <w:spacing w:after="0" w:line="78"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the first six months of 2023, we repurchased 700,597 shares of our common stock at an average price of</w:t>
      </w:r>
    </w:p>
    <w:p>
      <w:pPr>
        <w:spacing w:after="0" w:line="34" w:lineRule="exact"/>
        <w:rPr>
          <w:rFonts w:ascii="Arial" w:cs="Arial" w:eastAsia="Arial" w:hAnsi="Arial"/>
          <w:sz w:val="17"/>
          <w:szCs w:val="17"/>
          <w:color w:val="auto"/>
        </w:rPr>
      </w:pPr>
    </w:p>
    <w:p>
      <w:pPr>
        <w:ind w:left="720" w:right="159"/>
        <w:spacing w:after="0" w:line="255" w:lineRule="auto"/>
        <w:rPr>
          <w:rFonts w:ascii="Arial" w:cs="Arial" w:eastAsia="Arial" w:hAnsi="Arial"/>
          <w:sz w:val="17"/>
          <w:szCs w:val="17"/>
          <w:color w:val="auto"/>
        </w:rPr>
      </w:pPr>
      <w:r>
        <w:rPr>
          <w:rFonts w:ascii="Arial" w:cs="Arial" w:eastAsia="Arial" w:hAnsi="Arial"/>
          <w:sz w:val="18"/>
          <w:szCs w:val="18"/>
          <w:color w:val="auto"/>
        </w:rPr>
        <w:t>$79.20 per share. On July 26, 2023, our board authorized the repurchase of up to $200 million worth of shares of outstanding stock through July 31, 2024. This share authorization supersedes and replaces our prior share repurchase authorizations.</w:t>
      </w:r>
    </w:p>
    <w:p>
      <w:pPr>
        <w:spacing w:after="0" w:line="81" w:lineRule="exact"/>
        <w:rPr>
          <w:rFonts w:ascii="Arial" w:cs="Arial" w:eastAsia="Arial" w:hAnsi="Arial"/>
          <w:sz w:val="17"/>
          <w:szCs w:val="17"/>
          <w:color w:val="auto"/>
        </w:rPr>
      </w:pPr>
    </w:p>
    <w:p>
      <w:pPr>
        <w:ind w:left="720" w:right="179" w:hanging="319"/>
        <w:spacing w:after="0" w:line="301"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We’ve lowered our targeted range for capital expenditures to $175-$200 million, which will continue to be impacted by extended lead times required for most equipment and rolling stock. Priority continues to be given to projects that enhance the working environments of our plants, take advantage of automation opportunities, and drive strategies that have strong long-term growth potential of new and value-added products.</w:t>
      </w:r>
    </w:p>
    <w:p>
      <w:pPr>
        <w:spacing w:after="0" w:line="49"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900" w:right="59" w:hanging="330"/>
        <w:spacing w:after="0" w:line="30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July 1, 2023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900" w:right="59" w:hanging="330"/>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July 1, 2023, there were no changes in our internal control over financial reporting that materially affected, or is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900" w:hanging="330"/>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00" w:hanging="330"/>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00" w:hanging="330"/>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5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(1)</w:t>
            </w:r>
          </w:p>
        </w:tc>
        <w:tc>
          <w:tcPr>
            <w:tcW w:w="6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(2)</w:t>
            </w:r>
          </w:p>
        </w:tc>
        <w:tc>
          <w:tcPr>
            <w:tcW w:w="8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(3)</w:t>
            </w:r>
          </w:p>
        </w:tc>
        <w:tc>
          <w:tcPr>
            <w:tcW w:w="9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(4)</w:t>
            </w:r>
          </w:p>
        </w:tc>
      </w:tr>
      <w:tr>
        <w:trPr>
          <w:trHeight w:val="210"/>
        </w:trPr>
        <w:tc>
          <w:tcPr>
            <w:tcW w:w="55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April 2 – May 6, 2023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79.21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1,424,403</w:t>
            </w: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3"/>
              </w:rPr>
              <w:t>May 7</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 June 3, 2023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60" w:type="dxa"/>
            <w:vAlign w:val="bottom"/>
            <w:gridSpan w:val="2"/>
          </w:tcPr>
          <w:p>
            <w:pPr>
              <w:jc w:val="center"/>
              <w:ind w:left="56"/>
              <w:spacing w:after="0"/>
              <w:rPr>
                <w:sz w:val="20"/>
                <w:szCs w:val="20"/>
                <w:color w:val="auto"/>
              </w:rPr>
            </w:pPr>
            <w:r>
              <w:rPr>
                <w:rFonts w:ascii="Arial" w:cs="Arial" w:eastAsia="Arial" w:hAnsi="Arial"/>
                <w:sz w:val="18"/>
                <w:szCs w:val="18"/>
                <w:color w:val="auto"/>
                <w:w w:val="88"/>
              </w:rPr>
              <w:t>82.27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jc w:val="center"/>
              <w:ind w:left="56"/>
              <w:spacing w:after="0"/>
              <w:rPr>
                <w:sz w:val="20"/>
                <w:szCs w:val="20"/>
                <w:color w:val="auto"/>
              </w:rPr>
            </w:pPr>
            <w:r>
              <w:rPr>
                <w:rFonts w:ascii="Arial" w:cs="Arial" w:eastAsia="Arial" w:hAnsi="Arial"/>
                <w:sz w:val="18"/>
                <w:szCs w:val="18"/>
                <w:color w:val="auto"/>
                <w:w w:val="89"/>
              </w:rPr>
              <w:t>1,324,403</w:t>
            </w: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June 4</w:t>
            </w:r>
          </w:p>
        </w:tc>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July 1, 2023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6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88"/>
              </w:rPr>
              <w:t>83.50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8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89"/>
              </w:rPr>
              <w:t>1,299,403</w:t>
            </w:r>
          </w:p>
        </w:tc>
      </w:tr>
      <w:tr>
        <w:trPr>
          <w:trHeight w:val="115"/>
        </w:trPr>
        <w:tc>
          <w:tcPr>
            <w:tcW w:w="5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67"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February 15, 2022, our Board authorized an additional 1.5 million shares to be repurchased under our existing share repurchase program. Upon expiration of this authorization on February 3, 2023, the Board gave management authorization to repurchase up to 2 million shares by February 5, 2024. As of July 1, 2023, the total number of remaining shares for repurchase under the program was approximately 1.3 million. On and effective as of July 26, 2023, our board authorized the repurchase of up to $200 million worth of shares of our common stock through the period ending July 31, 2024, which supercedes and replaces the prior authorization.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During the quarter ended July 1, 2023,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20" w:right="119" w:hanging="576"/>
        <w:spacing w:after="0" w:line="277"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1120" w:right="119" w:hanging="576"/>
        <w:spacing w:after="0" w:line="277"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540" w:hanging="490"/>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20" w:right="119" w:hanging="576"/>
        <w:spacing w:after="0" w:line="277"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906 of the Sarbanes-Oxley Act of 2002 (18 U.S.C. 1350).</w:t>
      </w:r>
    </w:p>
    <w:p>
      <w:pPr>
        <w:spacing w:after="0" w:line="170" w:lineRule="exact"/>
        <w:rPr>
          <w:rFonts w:ascii="Arial" w:cs="Arial" w:eastAsia="Arial" w:hAnsi="Arial"/>
          <w:sz w:val="18"/>
          <w:szCs w:val="18"/>
          <w:color w:val="auto"/>
        </w:rPr>
      </w:pPr>
    </w:p>
    <w:p>
      <w:pPr>
        <w:ind w:left="1120" w:right="119" w:hanging="576"/>
        <w:spacing w:after="0" w:line="277" w:lineRule="auto"/>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906 of the Sarbanes-Oxley Act of 2002 (18 U.S.C. 1350).</w:t>
      </w:r>
    </w:p>
    <w:p>
      <w:pPr>
        <w:spacing w:after="0" w:line="170"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101</w:t>
        <w:tab/>
        <w:t>Interactive Data File formatted in iXBRL (Inline eXtensible Business Reporting Language).</w:t>
      </w:r>
    </w:p>
    <w:p>
      <w:pPr>
        <w:sectPr>
          <w:pgSz w:w="11900" w:h="16838" w:orient="portrait"/>
          <w:cols w:equalWidth="0" w:num="1">
            <w:col w:w="9019"/>
          </w:cols>
          <w:pgMar w:left="1440" w:top="544" w:right="1440"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iXBRL Instance Document.</w:t>
      </w:r>
    </w:p>
    <w:p>
      <w:pPr>
        <w:spacing w:after="0" w:line="222" w:lineRule="exact"/>
        <w:rPr>
          <w:sz w:val="20"/>
          <w:szCs w:val="20"/>
          <w:color w:val="auto"/>
        </w:rPr>
      </w:pPr>
    </w:p>
    <w:p>
      <w:pPr>
        <w:sectPr>
          <w:pgSz w:w="11900" w:h="16838" w:orient="portrait"/>
          <w:cols w:equalWidth="0" w:num="2">
            <w:col w:w="960" w:space="160"/>
            <w:col w:w="7899"/>
          </w:cols>
          <w:pgMar w:left="1440" w:top="544" w:right="1440" w:bottom="1440" w:gutter="0" w:footer="0" w:header="0"/>
          <w:type w:val="continuous"/>
        </w:sectPr>
      </w:pPr>
    </w:p>
    <w:p>
      <w:pPr>
        <w:spacing w:after="0" w:line="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 iXBRL Schema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(CAL) iXBRL Taxonomy Extension Calculation Linkbase Document.</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(LAB) iXBRL Taxonomy Extension Label Linkbase Document.</w:t>
      </w:r>
    </w:p>
    <w:p>
      <w:pPr>
        <w:sectPr>
          <w:pgSz w:w="11900" w:h="16838" w:orient="portrait"/>
          <w:cols w:equalWidth="0" w:num="1">
            <w:col w:w="9019"/>
          </w:cols>
          <w:pgMar w:left="1440" w:top="544" w:right="1440" w:bottom="1440" w:gutter="0" w:footer="0" w:header="0"/>
          <w:type w:val="continuous"/>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iXBRL Taxonomy Extension Presentation Linkbase Document.</w:t>
      </w:r>
    </w:p>
    <w:p>
      <w:pPr>
        <w:spacing w:after="0" w:line="200" w:lineRule="exact"/>
        <w:rPr>
          <w:sz w:val="20"/>
          <w:szCs w:val="20"/>
          <w:color w:val="auto"/>
        </w:rPr>
      </w:pPr>
    </w:p>
    <w:p>
      <w:pPr>
        <w:sectPr>
          <w:pgSz w:w="11900" w:h="16838" w:orient="portrait"/>
          <w:cols w:equalWidth="0" w:num="2">
            <w:col w:w="1000" w:space="120"/>
            <w:col w:w="7899"/>
          </w:cols>
          <w:pgMar w:left="1440" w:top="544" w:right="1440"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(DEF)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iXBRL Taxonomy Extension Definition Linkbase Document.</w:t>
      </w:r>
    </w:p>
    <w:p>
      <w:pPr>
        <w:spacing w:after="0" w:line="211" w:lineRule="exact"/>
        <w:rPr>
          <w:sz w:val="20"/>
          <w:szCs w:val="20"/>
          <w:color w:val="auto"/>
        </w:rPr>
      </w:pPr>
    </w:p>
    <w:p>
      <w:pPr>
        <w:sectPr>
          <w:pgSz w:w="11900" w:h="16838" w:orient="portrait"/>
          <w:cols w:equalWidth="0" w:num="2">
            <w:col w:w="1000" w:space="120"/>
            <w:col w:w="7899"/>
          </w:cols>
          <w:pgMar w:left="1440" w:top="544" w:right="1440" w:bottom="1440" w:gutter="0" w:footer="0" w:header="0"/>
          <w:type w:val="continuous"/>
        </w:sectPr>
      </w:pPr>
    </w:p>
    <w:p>
      <w:pPr>
        <w:spacing w:after="0" w:line="37" w:lineRule="exact"/>
        <w:rPr>
          <w:sz w:val="20"/>
          <w:szCs w:val="20"/>
          <w:color w:val="auto"/>
        </w:rPr>
      </w:pPr>
    </w:p>
    <w:p>
      <w:pPr>
        <w:ind w:left="540" w:hanging="490"/>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Cover Page Interactive Data File (the cover page XBRL tags are embedded 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spacing w:after="0"/>
        <w:tabs>
          <w:tab w:leader="none" w:pos="4200" w:val="left"/>
          <w:tab w:leader="none" w:pos="49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457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Chairman of the Board, Chief Executive Officer and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
        <w:spacing w:after="0"/>
        <w:tabs>
          <w:tab w:leader="none" w:pos="4200" w:val="left"/>
          <w:tab w:leader="none" w:pos="49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457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9" w:name="page40"/>
    <w:bookmarkEnd w:id="39"/>
    <w:p>
      <w:pPr>
        <w:ind w:left="7960"/>
        <w:spacing w:after="0"/>
        <w:rPr>
          <w:sz w:val="20"/>
          <w:szCs w:val="20"/>
          <w:color w:val="auto"/>
        </w:rPr>
      </w:pPr>
      <w:r>
        <w:rPr>
          <w:rFonts w:ascii="Arial" w:cs="Arial" w:eastAsia="Arial" w:hAnsi="Arial"/>
          <w:sz w:val="16"/>
          <w:szCs w:val="16"/>
          <w:b w:val="1"/>
          <w:bCs w:val="1"/>
          <w:color w:val="auto"/>
        </w:rPr>
        <w:t>Exhibit 31(a)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59" w:hanging="490"/>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59" w:hanging="317"/>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59" w:hanging="317"/>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59" w:hanging="317"/>
        <w:spacing w:after="0" w:line="263"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59" w:hanging="324"/>
        <w:spacing w:after="0" w:line="259"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59" w:hanging="317"/>
        <w:spacing w:after="0" w:line="263"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59" w:hanging="324"/>
        <w:spacing w:after="0" w:line="277"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Date: August 9, 2023</w:t>
            </w:r>
          </w:p>
        </w:tc>
        <w:tc>
          <w:tcPr>
            <w:tcW w:w="446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776"/>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40" w:name="page41"/>
    <w:bookmarkEnd w:id="40"/>
    <w:p>
      <w:pPr>
        <w:ind w:left="7940"/>
        <w:spacing w:after="0"/>
        <w:rPr>
          <w:sz w:val="20"/>
          <w:szCs w:val="20"/>
          <w:color w:val="auto"/>
        </w:rPr>
      </w:pPr>
      <w:r>
        <w:rPr>
          <w:rFonts w:ascii="Arial" w:cs="Arial" w:eastAsia="Arial" w:hAnsi="Arial"/>
          <w:sz w:val="16"/>
          <w:szCs w:val="16"/>
          <w:b w:val="1"/>
          <w:bCs w:val="1"/>
          <w:color w:val="auto"/>
        </w:rPr>
        <w:t>Exhibit 31(b)</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59" w:hanging="490"/>
        <w:spacing w:after="0" w:line="286"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59" w:hanging="317"/>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59" w:hanging="317"/>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59" w:hanging="317"/>
        <w:spacing w:after="0" w:line="263"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59" w:hanging="324"/>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5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59" w:hanging="317"/>
        <w:spacing w:after="0" w:line="263"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59" w:hanging="324"/>
        <w:spacing w:after="0" w:line="277"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Date: August 9, 2023</w:t>
            </w:r>
          </w:p>
        </w:tc>
        <w:tc>
          <w:tcPr>
            <w:tcW w:w="446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6"/>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41" w:name="page42"/>
    <w:bookmarkEnd w:id="41"/>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 OF THE BOARD AND 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I, Matthew J. Missad, Chairman of the Board and Chief Executive Officer of UFP Industries, Inc., certify, to the best of my knowledge and belief, pursuant to Section 906 of the Sarbanes-Oxley Act of 2002 (18 U.S.C. 1350) that:</w:t>
      </w:r>
    </w:p>
    <w:p>
      <w:pPr>
        <w:spacing w:after="0" w:line="146" w:lineRule="exact"/>
        <w:rPr>
          <w:sz w:val="20"/>
          <w:szCs w:val="20"/>
          <w:color w:val="auto"/>
        </w:rPr>
      </w:pPr>
    </w:p>
    <w:p>
      <w:pPr>
        <w:ind w:left="620" w:right="59" w:hanging="570"/>
        <w:spacing w:after="0" w:line="342"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quarterly report on Form 10-Q for the quarterly period ended July 1, 2023, which this statement accompanies, fully complies with requirements of Section 13(a) or 15(d) of the Securities Exchange Act of 1934; and</w:t>
      </w:r>
    </w:p>
    <w:p>
      <w:pPr>
        <w:spacing w:after="0" w:line="123" w:lineRule="exact"/>
        <w:rPr>
          <w:rFonts w:ascii="Arial" w:cs="Arial" w:eastAsia="Arial" w:hAnsi="Arial"/>
          <w:sz w:val="16"/>
          <w:szCs w:val="16"/>
          <w:color w:val="auto"/>
        </w:rPr>
      </w:pPr>
    </w:p>
    <w:p>
      <w:pPr>
        <w:ind w:left="620" w:right="59" w:hanging="570"/>
        <w:spacing w:after="0" w:line="308"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July 1, 2023,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1"/>
        </w:trPr>
        <w:tc>
          <w:tcPr>
            <w:tcW w:w="4440" w:type="dxa"/>
            <w:vAlign w:val="bottom"/>
            <w:gridSpan w:val="3"/>
          </w:tcPr>
          <w:p>
            <w:pPr>
              <w:spacing w:after="0"/>
              <w:rPr>
                <w:sz w:val="20"/>
                <w:szCs w:val="20"/>
                <w:color w:val="auto"/>
              </w:rPr>
            </w:pPr>
            <w:r>
              <w:rPr>
                <w:rFonts w:ascii="Arial" w:cs="Arial" w:eastAsia="Arial" w:hAnsi="Arial"/>
                <w:sz w:val="18"/>
                <w:szCs w:val="18"/>
                <w:color w:val="auto"/>
              </w:rPr>
              <w:t>Date: August 9, 2023</w:t>
            </w:r>
          </w:p>
        </w:tc>
        <w:tc>
          <w:tcPr>
            <w:tcW w:w="446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2" w:name="page43"/>
    <w:bookmarkEnd w:id="42"/>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ind w:left="620" w:right="59" w:hanging="570"/>
        <w:spacing w:after="0" w:line="342" w:lineRule="auto"/>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quarterly report on Form 10-Q for the quarterly period ended July 1, 2023, which this statement accompanies, fully complies with requirements of Section 13(a) or 15(d) of the Securities Exchange Act of 1934; and</w:t>
      </w:r>
    </w:p>
    <w:p>
      <w:pPr>
        <w:spacing w:after="0" w:line="123" w:lineRule="exact"/>
        <w:rPr>
          <w:rFonts w:ascii="Arial" w:cs="Arial" w:eastAsia="Arial" w:hAnsi="Arial"/>
          <w:sz w:val="16"/>
          <w:szCs w:val="16"/>
          <w:color w:val="auto"/>
        </w:rPr>
      </w:pPr>
    </w:p>
    <w:p>
      <w:pPr>
        <w:ind w:left="620" w:right="59" w:hanging="570"/>
        <w:spacing w:after="0" w:line="308"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July 1, 2023,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1"/>
        </w:trPr>
        <w:tc>
          <w:tcPr>
            <w:tcW w:w="4440" w:type="dxa"/>
            <w:vAlign w:val="bottom"/>
            <w:gridSpan w:val="3"/>
          </w:tcPr>
          <w:p>
            <w:pPr>
              <w:spacing w:after="0"/>
              <w:rPr>
                <w:sz w:val="20"/>
                <w:szCs w:val="20"/>
                <w:color w:val="auto"/>
              </w:rPr>
            </w:pPr>
            <w:r>
              <w:rPr>
                <w:rFonts w:ascii="Arial" w:cs="Arial" w:eastAsia="Arial" w:hAnsi="Arial"/>
                <w:sz w:val="18"/>
                <w:szCs w:val="18"/>
                <w:color w:val="auto"/>
              </w:rPr>
              <w:t>Date: August 9, 2023</w:t>
            </w:r>
          </w:p>
        </w:tc>
        <w:tc>
          <w:tcPr>
            <w:tcW w:w="446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1"/>
    </w:lvl>
  </w:abstractNum>
  <w:abstractNum w:abstractNumId="3">
    <w:nsid w:val="6763845E"/>
    <w:multiLevelType w:val="hybridMultilevel"/>
    <w:lvl w:ilvl="0">
      <w:lvlJc w:val="left"/>
      <w:lvlText w:val="(%1)"/>
      <w:numFmt w:val="lowerRoman"/>
      <w:start w:val="1"/>
    </w:lvl>
  </w:abstractNum>
  <w:abstractNum w:abstractNumId="4">
    <w:nsid w:val="75A2A8D4"/>
    <w:multiLevelType w:val="hybridMultilevel"/>
    <w:lvl w:ilvl="0">
      <w:lvlJc w:val="left"/>
      <w:lvlText w:val="%1."/>
      <w:numFmt w:val="upperLetter"/>
      <w:start w:val="2"/>
    </w:lvl>
  </w:abstractNum>
  <w:abstractNum w:abstractNumId="5">
    <w:nsid w:val="8EDBDAB"/>
    <w:multiLevelType w:val="hybridMultilevel"/>
    <w:lvl w:ilvl="0">
      <w:lvlJc w:val="left"/>
      <w:lvlText w:val="%1."/>
      <w:numFmt w:val="upperLetter"/>
      <w:start w:val="3"/>
    </w:lvl>
  </w:abstractNum>
  <w:abstractNum w:abstractNumId="6">
    <w:nsid w:val="79838CB2"/>
    <w:multiLevelType w:val="hybridMultilevel"/>
    <w:lvl w:ilvl="0">
      <w:lvlJc w:val="left"/>
      <w:lvlText w:val="%1."/>
      <w:numFmt w:val="upperLetter"/>
      <w:start w:val="4"/>
    </w:lvl>
  </w:abstractNum>
  <w:abstractNum w:abstractNumId="7">
    <w:nsid w:val="4353D0CD"/>
    <w:multiLevelType w:val="hybridMultilevel"/>
    <w:lvl w:ilvl="0">
      <w:lvlJc w:val="left"/>
      <w:lvlText w:val="%1."/>
      <w:numFmt w:val="upperLetter"/>
      <w:start w:val="5"/>
    </w:lvl>
  </w:abstractNum>
  <w:abstractNum w:abstractNumId="8">
    <w:nsid w:val="B03E0C6"/>
    <w:multiLevelType w:val="hybridMultilevel"/>
    <w:lvl w:ilvl="0">
      <w:lvlJc w:val="left"/>
      <w:lvlText w:val="%1."/>
      <w:numFmt w:val="upperLetter"/>
      <w:start w:val="6"/>
    </w:lvl>
  </w:abstractNum>
  <w:abstractNum w:abstractNumId="9">
    <w:nsid w:val="189A769B"/>
    <w:multiLevelType w:val="hybridMultilevel"/>
    <w:lvl w:ilvl="0">
      <w:lvlJc w:val="left"/>
      <w:lvlText w:val="%1."/>
      <w:numFmt w:val="upperLetter"/>
      <w:start w:val="7"/>
    </w:lvl>
  </w:abstractNum>
  <w:abstractNum w:abstractNumId="10">
    <w:nsid w:val="54E49EB4"/>
    <w:multiLevelType w:val="hybridMultilevel"/>
    <w:lvl w:ilvl="0">
      <w:lvlJc w:val="left"/>
      <w:lvlText w:val="%1."/>
      <w:numFmt w:val="upperLetter"/>
      <w:start w:val="8"/>
    </w:lvl>
  </w:abstractNum>
  <w:abstractNum w:abstractNumId="11">
    <w:nsid w:val="71F32454"/>
    <w:multiLevelType w:val="hybridMultilevel"/>
    <w:lvl w:ilvl="0">
      <w:lvlJc w:val="left"/>
      <w:lvlText w:val="%1."/>
      <w:numFmt w:val="upperLetter"/>
      <w:start w:val="9"/>
    </w:lvl>
  </w:abstractNum>
  <w:abstractNum w:abstractNumId="12">
    <w:nsid w:val="2CA88611"/>
    <w:multiLevelType w:val="hybridMultilevel"/>
    <w:lvl w:ilvl="0">
      <w:lvlJc w:val="left"/>
      <w:lvlText w:val="%1."/>
      <w:numFmt w:val="upperLetter"/>
      <w:start w:val="10"/>
    </w:lvl>
  </w:abstractNum>
  <w:abstractNum w:abstractNumId="13">
    <w:nsid w:val="836C40E"/>
    <w:multiLevelType w:val="hybridMultilevel"/>
    <w:lvl w:ilvl="0">
      <w:lvlJc w:val="left"/>
      <w:lvlText w:val="%1."/>
      <w:numFmt w:val="upperLetter"/>
      <w:start w:val="1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lvl w:ilvl="1">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lvl w:ilvl="1">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31"/>
    </w:lvl>
    <w:lvl w:ilvl="1">
      <w:lvlJc w:val="left"/>
      <w:lvlText w:val="(%2)"/>
      <w:numFmt w:val="lowerLetter"/>
      <w:start w:val="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2023-08-09T10:50:42Z</dcterms:created>
  <dcterms:modified xsi:type="dcterms:W3CDTF">2023-08-09T10:50:42Z</dcterms:modified>
</cp:coreProperties>
</file>