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Date of Report (Date of earliest event reported): October 15, 2008</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Michigan</w:t>
            </w:r>
          </w:p>
        </w:tc>
        <w:tc>
          <w:tcPr>
            <w:tcW w:w="274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0-22684</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38-1465835</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gridSpan w:val="3"/>
          </w:tcPr>
          <w:p>
            <w:pPr>
              <w:jc w:val="center"/>
              <w:ind w:right="36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6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Incorporation)</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6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2801 East Beltline, NE</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6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b w:val="1"/>
                <w:bCs w:val="1"/>
                <w:color w:val="auto"/>
                <w:w w:val="93"/>
              </w:rPr>
              <w:t>Grand Rapids, Michigan</w:t>
            </w: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49525</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22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-130810</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4"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2" w:lineRule="exact"/>
        <w:rPr>
          <w:sz w:val="20"/>
          <w:szCs w:val="20"/>
          <w:color w:val="auto"/>
        </w:rPr>
      </w:pPr>
    </w:p>
    <w:p>
      <w:pPr>
        <w:ind w:left="740" w:right="559"/>
        <w:spacing w:after="0" w:line="308" w:lineRule="auto"/>
        <w:rPr>
          <w:sz w:val="20"/>
          <w:szCs w:val="20"/>
          <w:color w:val="auto"/>
        </w:rPr>
      </w:pPr>
      <w:r>
        <w:rPr>
          <w:rFonts w:ascii="Arial" w:cs="Arial" w:eastAsia="Arial" w:hAnsi="Arial"/>
          <w:sz w:val="17"/>
          <w:szCs w:val="17"/>
          <w:color w:val="auto"/>
        </w:rPr>
        <w:t>On October 15, 2008, the Registrant issued a press release announcing its financial results for the quarter ended September 27, 2008. A copy of the Registrant’s press release is attached as Exhibit 99(a) to this Current Report.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Pro Forma Financial Information, and Exhibits</w:t>
      </w:r>
    </w:p>
    <w:p>
      <w:pPr>
        <w:spacing w:after="0" w:line="229" w:lineRule="exact"/>
        <w:rPr>
          <w:sz w:val="20"/>
          <w:szCs w:val="20"/>
          <w:color w:val="auto"/>
        </w:rPr>
      </w:pPr>
    </w:p>
    <w:p>
      <w:pPr>
        <w:ind w:left="640"/>
        <w:spacing w:after="0"/>
        <w:tabs>
          <w:tab w:leader="none" w:pos="9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Exhibits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99(a) Press Release dated October 15, 2008.</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UNIVERSAL FOREST PRODUCTS, INC.</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15, 2008</w:t>
      </w:r>
    </w:p>
    <w:p>
      <w:pPr>
        <w:spacing w:after="0" w:line="1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w:t>
      </w:r>
      <w:r>
        <w:rPr>
          <w:rFonts w:ascii="Arial" w:cs="Arial" w:eastAsia="Arial" w:hAnsi="Arial"/>
          <w:sz w:val="18"/>
          <w:szCs w:val="18"/>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-20320</wp:posOffset>
            </wp:positionV>
            <wp:extent cx="1717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7040" cy="889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8"/>
          <w:szCs w:val="18"/>
          <w:color w:val="auto"/>
        </w:rPr>
        <w:t>Michael R. Cole, Chief Financial Officer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and Treasurer</w:t>
      </w:r>
    </w:p>
    <w:p>
      <w:pPr>
        <w:spacing w:after="0" w:line="17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INDEX</w:t>
            </w:r>
          </w:p>
        </w:tc>
        <w:tc>
          <w:tcPr>
            <w:tcW w:w="3960" w:type="dxa"/>
            <w:vAlign w:val="bottom"/>
          </w:tcPr>
          <w:p>
            <w:pPr>
              <w:spacing w:after="0"/>
              <w:rPr>
                <w:sz w:val="17"/>
                <w:szCs w:val="17"/>
                <w:color w:val="auto"/>
              </w:rPr>
            </w:pPr>
          </w:p>
        </w:tc>
      </w:tr>
      <w:tr>
        <w:trPr>
          <w:trHeight w:val="642"/>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Exhibit Number</w:t>
            </w:r>
          </w:p>
        </w:tc>
        <w:tc>
          <w:tcPr>
            <w:tcW w:w="48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color w:val="auto"/>
              </w:rPr>
              <w:t>Document</w:t>
            </w:r>
          </w:p>
        </w:tc>
      </w:tr>
      <w:tr>
        <w:trPr>
          <w:trHeight w:val="426"/>
        </w:trPr>
        <w:tc>
          <w:tcPr>
            <w:tcW w:w="1200" w:type="dxa"/>
            <w:vAlign w:val="bottom"/>
          </w:tcPr>
          <w:p>
            <w:pPr>
              <w:spacing w:after="0"/>
              <w:rPr>
                <w:sz w:val="20"/>
                <w:szCs w:val="20"/>
                <w:color w:val="auto"/>
              </w:rPr>
            </w:pPr>
            <w:r>
              <w:rPr>
                <w:rFonts w:ascii="Arial" w:cs="Arial" w:eastAsia="Arial" w:hAnsi="Arial"/>
                <w:sz w:val="18"/>
                <w:szCs w:val="18"/>
                <w:color w:val="auto"/>
              </w:rPr>
              <w:t>99(a)</w:t>
            </w:r>
          </w:p>
        </w:tc>
        <w:tc>
          <w:tcPr>
            <w:tcW w:w="480" w:type="dxa"/>
            <w:vAlign w:val="bottom"/>
          </w:tcPr>
          <w:p>
            <w:pPr>
              <w:spacing w:after="0"/>
              <w:rPr>
                <w:sz w:val="24"/>
                <w:szCs w:val="24"/>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Press Release dated October 15, 2008.</w:t>
            </w:r>
          </w:p>
        </w:tc>
      </w:tr>
      <w:tr>
        <w:trPr>
          <w:trHeight w:val="392"/>
        </w:trPr>
        <w:tc>
          <w:tcPr>
            <w:tcW w:w="1200" w:type="dxa"/>
            <w:vAlign w:val="bottom"/>
          </w:tcPr>
          <w:p>
            <w:pPr>
              <w:spacing w:after="0"/>
              <w:rPr>
                <w:sz w:val="24"/>
                <w:szCs w:val="24"/>
                <w:color w:val="auto"/>
              </w:rPr>
            </w:pPr>
          </w:p>
        </w:tc>
        <w:tc>
          <w:tcPr>
            <w:tcW w:w="4160" w:type="dxa"/>
            <w:vAlign w:val="bottom"/>
            <w:gridSpan w:val="3"/>
          </w:tcPr>
          <w:p>
            <w:pPr>
              <w:jc w:val="right"/>
              <w:ind w:right="570"/>
              <w:spacing w:after="0"/>
              <w:rPr>
                <w:sz w:val="20"/>
                <w:szCs w:val="20"/>
                <w:color w:val="auto"/>
              </w:rPr>
            </w:pPr>
            <w:r>
              <w:rPr>
                <w:rFonts w:ascii="Arial" w:cs="Arial" w:eastAsia="Arial" w:hAnsi="Arial"/>
                <w:sz w:val="18"/>
                <w:szCs w:val="18"/>
                <w:color w:val="auto"/>
              </w:rPr>
              <w:t>4</w:t>
            </w:r>
          </w:p>
        </w:tc>
        <w:tc>
          <w:tcPr>
            <w:tcW w:w="3960" w:type="dxa"/>
            <w:vAlign w:val="bottom"/>
          </w:tcPr>
          <w:p>
            <w:pPr>
              <w:spacing w:after="0"/>
              <w:rPr>
                <w:sz w:val="24"/>
                <w:szCs w:val="24"/>
                <w:color w:val="auto"/>
              </w:rPr>
            </w:pPr>
          </w:p>
        </w:tc>
      </w:tr>
    </w:tbl>
    <w:p>
      <w:pPr>
        <w:sectPr>
          <w:pgSz w:w="11900" w:h="16838" w:orient="portrait"/>
          <w:cols w:equalWidth="0" w:num="1">
            <w:col w:w="9879"/>
          </w:cols>
          <w:pgMar w:left="580" w:top="918"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color w:val="auto"/>
        </w:rPr>
        <w:t>Exhibit 99(a)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Lynn Afendoulis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365-1502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WEDNESDAY, October 15, 2008</w:t>
      </w:r>
    </w:p>
    <w:p>
      <w:pPr>
        <w:spacing w:after="0" w:line="16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UFPI reports 2008 third-quarter results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$2.0 million net loss resulting from noncash and other charges of $6.2 million</w:t>
      </w:r>
    </w:p>
    <w:p>
      <w:pPr>
        <w:spacing w:after="0" w:line="184"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Company points to solid balance sheet, cash flow</w:t>
      </w:r>
    </w:p>
    <w:p>
      <w:pPr>
        <w:spacing w:after="0" w:line="185"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Market share gains, efficiencies driven by continuous improvement,</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i w:val="1"/>
          <w:iCs w:val="1"/>
          <w:color w:val="auto"/>
        </w:rPr>
        <w:t>industrial business cited as strong opportunities</w:t>
      </w:r>
    </w:p>
    <w:p>
      <w:pPr>
        <w:spacing w:after="0" w:line="170" w:lineRule="exact"/>
        <w:rPr>
          <w:sz w:val="20"/>
          <w:szCs w:val="20"/>
          <w:color w:val="auto"/>
        </w:rPr>
      </w:pPr>
    </w:p>
    <w:p>
      <w:pPr>
        <w:ind w:right="599"/>
        <w:spacing w:after="0" w:line="297" w:lineRule="auto"/>
        <w:rPr>
          <w:sz w:val="20"/>
          <w:szCs w:val="20"/>
          <w:color w:val="auto"/>
        </w:rPr>
      </w:pPr>
      <w:r>
        <w:rPr>
          <w:rFonts w:ascii="Arial" w:cs="Arial" w:eastAsia="Arial" w:hAnsi="Arial"/>
          <w:sz w:val="16"/>
          <w:szCs w:val="16"/>
          <w:color w:val="auto"/>
        </w:rPr>
        <w:t>GRAND RAPIDS, Mich., Oct. 15, 2008 — Universal Forest Products, Inc. (Nasdaq: UFPI) today announced results for the third quarter of 2008, including net sales of $610.7 million, which compared to net sales of $678.4 for the same period last year. A net loss of $2.0 million, or $0.10 per diluted share, was reported for the quarter, compared with third-quarter net earnings of $11.3 million, or $0.59 per diluted share, in 2007. Third-quarter 2008 results include noncash and other charges totaling $6.2 million for asset impairments and costs associated with idled facilities; there were no such charges for the same period of 2007.</w:t>
      </w:r>
    </w:p>
    <w:p>
      <w:pPr>
        <w:spacing w:after="0" w:line="131" w:lineRule="exact"/>
        <w:rPr>
          <w:sz w:val="20"/>
          <w:szCs w:val="20"/>
          <w:color w:val="auto"/>
        </w:rPr>
      </w:pPr>
    </w:p>
    <w:p>
      <w:pPr>
        <w:ind w:right="659"/>
        <w:spacing w:after="0" w:line="273" w:lineRule="auto"/>
        <w:rPr>
          <w:sz w:val="20"/>
          <w:szCs w:val="20"/>
          <w:color w:val="auto"/>
        </w:rPr>
      </w:pPr>
      <w:r>
        <w:rPr>
          <w:rFonts w:ascii="Arial" w:cs="Arial" w:eastAsia="Arial" w:hAnsi="Arial"/>
          <w:sz w:val="17"/>
          <w:szCs w:val="17"/>
          <w:color w:val="auto"/>
        </w:rPr>
        <w:t>Continued deterioration in housing and unprecedented turmoil in the financial markets weighed heavily on the Company’s performance in the third quarter. Universal said its accomplishments in this current market environment are testament to the strength of its strategies and bode well for its future. “In the toughest conditions in memory, our focus on growing market share, ensuring we’re sized right for our business opportunities, containing costs through continuous improvement, and managing our working capital are paying off,” said President and CEO Michael B. Glenn. “Excluding the impact of the impairments and other costs, we would have had net earnings of nearly $3 million for the quarter.</w:t>
      </w:r>
    </w:p>
    <w:p>
      <w:pPr>
        <w:spacing w:after="0" w:line="138" w:lineRule="exact"/>
        <w:rPr>
          <w:sz w:val="20"/>
          <w:szCs w:val="20"/>
          <w:color w:val="auto"/>
        </w:rPr>
      </w:pPr>
    </w:p>
    <w:p>
      <w:pPr>
        <w:jc w:val="both"/>
        <w:ind w:right="679"/>
        <w:spacing w:after="0" w:line="264" w:lineRule="auto"/>
        <w:rPr>
          <w:sz w:val="20"/>
          <w:szCs w:val="20"/>
          <w:color w:val="auto"/>
        </w:rPr>
      </w:pPr>
      <w:r>
        <w:rPr>
          <w:rFonts w:ascii="Arial" w:cs="Arial" w:eastAsia="Arial" w:hAnsi="Arial"/>
          <w:sz w:val="18"/>
          <w:szCs w:val="18"/>
          <w:color w:val="auto"/>
        </w:rPr>
        <w:t>“I’m pleased with the strength of our balance sheet, which we’ve maintained by focusing on accounts receivable and inventory, resulting in strong cash flow,” he added. “We believe we have the right focus and are doing the right things to take advantage of near-term opportunities while positioning the Company well for a brighter tomorrow.”</w:t>
      </w:r>
    </w:p>
    <w:p>
      <w:pPr>
        <w:spacing w:after="0" w:line="141" w:lineRule="exact"/>
        <w:rPr>
          <w:sz w:val="20"/>
          <w:szCs w:val="20"/>
          <w:color w:val="auto"/>
        </w:rPr>
      </w:pPr>
    </w:p>
    <w:p>
      <w:pPr>
        <w:ind w:left="8640"/>
        <w:spacing w:after="0"/>
        <w:rPr>
          <w:sz w:val="20"/>
          <w:szCs w:val="20"/>
          <w:color w:val="auto"/>
        </w:rPr>
      </w:pPr>
      <w:r>
        <w:rPr>
          <w:rFonts w:ascii="Arial" w:cs="Arial" w:eastAsia="Arial" w:hAnsi="Arial"/>
          <w:sz w:val="15"/>
          <w:szCs w:val="15"/>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678180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184" w:lineRule="exact"/>
        <w:rPr>
          <w:sz w:val="20"/>
          <w:szCs w:val="20"/>
          <w:color w:val="auto"/>
        </w:rPr>
      </w:pPr>
    </w:p>
    <w:p>
      <w:pPr>
        <w:jc w:val="both"/>
        <w:ind w:right="659"/>
        <w:spacing w:after="0" w:line="312" w:lineRule="auto"/>
        <w:rPr>
          <w:sz w:val="20"/>
          <w:szCs w:val="20"/>
          <w:color w:val="auto"/>
        </w:rPr>
      </w:pPr>
      <w:r>
        <w:rPr>
          <w:rFonts w:ascii="Arial" w:cs="Arial" w:eastAsia="Arial" w:hAnsi="Arial"/>
          <w:sz w:val="16"/>
          <w:szCs w:val="16"/>
          <w:color w:val="auto"/>
        </w:rPr>
        <w:t>The quarter-to-date composite lumber price, which affects the Company’s selling prices, was 4.9% lower in the third quarter of 2008 than the same period of 2007 and had little impact on sales. Moving forward, lumber mill closures may better align supply and demand, but the Company believes weak demand will keep the lumber market depressed through the fourth quarter.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By market, Universal posted the following gross sales results for the third quarter of 2008:</w:t>
      </w:r>
    </w:p>
    <w:p>
      <w:pPr>
        <w:spacing w:after="0" w:line="181" w:lineRule="exact"/>
        <w:rPr>
          <w:sz w:val="20"/>
          <w:szCs w:val="20"/>
          <w:color w:val="auto"/>
        </w:rPr>
      </w:pPr>
    </w:p>
    <w:p>
      <w:pPr>
        <w:jc w:val="both"/>
        <w:ind w:right="1019"/>
        <w:spacing w:after="0" w:line="257" w:lineRule="auto"/>
        <w:rPr>
          <w:sz w:val="20"/>
          <w:szCs w:val="20"/>
          <w:color w:val="auto"/>
        </w:rPr>
      </w:pPr>
      <w:r>
        <w:rPr>
          <w:rFonts w:ascii="Arial" w:cs="Arial" w:eastAsia="Arial" w:hAnsi="Arial"/>
          <w:sz w:val="18"/>
          <w:szCs w:val="18"/>
          <w:b w:val="1"/>
          <w:bCs w:val="1"/>
          <w:color w:val="auto"/>
        </w:rPr>
        <w:t xml:space="preserve">Do-It-Yourself/retail: $251.6 million, a decrease of 5.9% from the same period of 2007. </w:t>
      </w:r>
      <w:r>
        <w:rPr>
          <w:rFonts w:ascii="Arial" w:cs="Arial" w:eastAsia="Arial" w:hAnsi="Arial"/>
          <w:sz w:val="18"/>
          <w:szCs w:val="18"/>
          <w:color w:val="auto"/>
        </w:rPr>
        <w:t>Spending was weak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as consumer confidence remained near 16-year lows through late September. Sales to big box customers, who saw declines in same-store sales, were down 4%; sales</w:t>
      </w:r>
    </w:p>
    <w:p>
      <w:pPr>
        <w:spacing w:after="0" w:line="2" w:lineRule="exact"/>
        <w:rPr>
          <w:sz w:val="20"/>
          <w:szCs w:val="20"/>
          <w:color w:val="auto"/>
        </w:rPr>
      </w:pPr>
    </w:p>
    <w:p>
      <w:pPr>
        <w:ind w:right="879"/>
        <w:spacing w:after="0" w:line="261" w:lineRule="auto"/>
        <w:rPr>
          <w:sz w:val="20"/>
          <w:szCs w:val="20"/>
          <w:color w:val="auto"/>
        </w:rPr>
      </w:pPr>
      <w:r>
        <w:rPr>
          <w:rFonts w:ascii="Arial" w:cs="Arial" w:eastAsia="Arial" w:hAnsi="Arial"/>
          <w:sz w:val="18"/>
          <w:szCs w:val="18"/>
          <w:color w:val="auto"/>
        </w:rPr>
        <w:t>to other retailers, whose business is more closely tied to housing, were down 10%. The Company expects to maintain market share in DIY/retail through the end of the year.</w:t>
      </w:r>
    </w:p>
    <w:p>
      <w:pPr>
        <w:spacing w:after="0" w:line="153" w:lineRule="exact"/>
        <w:rPr>
          <w:sz w:val="20"/>
          <w:szCs w:val="20"/>
          <w:color w:val="auto"/>
        </w:rPr>
      </w:pPr>
    </w:p>
    <w:p>
      <w:pPr>
        <w:ind w:right="699"/>
        <w:spacing w:after="0" w:line="298" w:lineRule="auto"/>
        <w:rPr>
          <w:sz w:val="20"/>
          <w:szCs w:val="20"/>
          <w:color w:val="auto"/>
        </w:rPr>
      </w:pPr>
      <w:r>
        <w:rPr>
          <w:rFonts w:ascii="Arial" w:cs="Arial" w:eastAsia="Arial" w:hAnsi="Arial"/>
          <w:sz w:val="16"/>
          <w:szCs w:val="16"/>
          <w:b w:val="1"/>
          <w:bCs w:val="1"/>
          <w:color w:val="auto"/>
        </w:rPr>
        <w:t xml:space="preserve">Industrial packaging/components: $166.3 million, an increase of 5.4% over the third quarter of 2007. </w:t>
      </w:r>
      <w:r>
        <w:rPr>
          <w:rFonts w:ascii="Arial" w:cs="Arial" w:eastAsia="Arial" w:hAnsi="Arial"/>
          <w:sz w:val="16"/>
          <w:szCs w:val="16"/>
          <w:color w:val="auto"/>
        </w:rPr>
        <w:t>The weak economy</w:t>
      </w:r>
      <w:r>
        <w:rPr>
          <w:rFonts w:ascii="Arial" w:cs="Arial" w:eastAsia="Arial" w:hAnsi="Arial"/>
          <w:sz w:val="16"/>
          <w:szCs w:val="16"/>
          <w:b w:val="1"/>
          <w:bCs w:val="1"/>
          <w:color w:val="auto"/>
        </w:rPr>
        <w:t xml:space="preserve"> </w:t>
      </w:r>
      <w:r>
        <w:rPr>
          <w:rFonts w:ascii="Arial" w:cs="Arial" w:eastAsia="Arial" w:hAnsi="Arial"/>
          <w:sz w:val="16"/>
          <w:szCs w:val="16"/>
          <w:color w:val="auto"/>
        </w:rPr>
        <w:t>had an impact on U.S. manufacturing and, therefore, on Universal’s industrial business, in which the Company engineers and manufactures packaging and components primarily for manufacturing and agricultural customers. Universal is selling less to existing customers, whose output has been diminished, but continues to grow its customer base. Acquisitions had a positive impact on sales as did the concrete forming business, an area in which the company anticipates market share growth in 2009.</w:t>
      </w:r>
    </w:p>
    <w:p>
      <w:pPr>
        <w:spacing w:after="0" w:line="114" w:lineRule="exact"/>
        <w:rPr>
          <w:sz w:val="20"/>
          <w:szCs w:val="20"/>
          <w:color w:val="auto"/>
        </w:rPr>
      </w:pPr>
    </w:p>
    <w:p>
      <w:pPr>
        <w:ind w:right="679"/>
        <w:spacing w:after="0" w:line="289" w:lineRule="auto"/>
        <w:rPr>
          <w:sz w:val="20"/>
          <w:szCs w:val="20"/>
          <w:color w:val="auto"/>
        </w:rPr>
      </w:pPr>
      <w:r>
        <w:rPr>
          <w:rFonts w:ascii="Arial" w:cs="Arial" w:eastAsia="Arial" w:hAnsi="Arial"/>
          <w:sz w:val="17"/>
          <w:szCs w:val="17"/>
          <w:b w:val="1"/>
          <w:bCs w:val="1"/>
          <w:color w:val="auto"/>
        </w:rPr>
        <w:t xml:space="preserve">Site-built construction: $119.8 million, a decrease of 24.2% from the same period of 2007. </w:t>
      </w:r>
      <w:r>
        <w:rPr>
          <w:rFonts w:ascii="Arial" w:cs="Arial" w:eastAsia="Arial" w:hAnsi="Arial"/>
          <w:sz w:val="17"/>
          <w:szCs w:val="17"/>
          <w:color w:val="auto"/>
        </w:rPr>
        <w:t>Quarter-to-date, single-family</w:t>
      </w:r>
      <w:r>
        <w:rPr>
          <w:rFonts w:ascii="Arial" w:cs="Arial" w:eastAsia="Arial" w:hAnsi="Arial"/>
          <w:sz w:val="17"/>
          <w:szCs w:val="17"/>
          <w:b w:val="1"/>
          <w:bCs w:val="1"/>
          <w:color w:val="auto"/>
        </w:rPr>
        <w:t xml:space="preserve"> </w:t>
      </w:r>
      <w:r>
        <w:rPr>
          <w:rFonts w:ascii="Arial" w:cs="Arial" w:eastAsia="Arial" w:hAnsi="Arial"/>
          <w:sz w:val="17"/>
          <w:szCs w:val="17"/>
          <w:color w:val="auto"/>
        </w:rPr>
        <w:t>housing starts declined 38.8% as of August 2008 from the same period of 2007. The Company continues to focus on ensuring it is sized right to its business opportunities and on adding new business opportunities.</w:t>
      </w:r>
    </w:p>
    <w:p>
      <w:pPr>
        <w:spacing w:after="0" w:line="118" w:lineRule="exact"/>
        <w:rPr>
          <w:sz w:val="20"/>
          <w:szCs w:val="20"/>
          <w:color w:val="auto"/>
        </w:rPr>
      </w:pPr>
    </w:p>
    <w:p>
      <w:pPr>
        <w:ind w:right="599"/>
        <w:spacing w:after="0" w:line="277" w:lineRule="auto"/>
        <w:rPr>
          <w:sz w:val="20"/>
          <w:szCs w:val="20"/>
          <w:color w:val="auto"/>
        </w:rPr>
      </w:pPr>
      <w:r>
        <w:rPr>
          <w:rFonts w:ascii="Arial" w:cs="Arial" w:eastAsia="Arial" w:hAnsi="Arial"/>
          <w:sz w:val="17"/>
          <w:szCs w:val="17"/>
          <w:b w:val="1"/>
          <w:bCs w:val="1"/>
          <w:color w:val="auto"/>
        </w:rPr>
        <w:t xml:space="preserve">Manufactured housing: $85.2 million, a decrease of 22.5% from 2007. </w:t>
      </w:r>
      <w:r>
        <w:rPr>
          <w:rFonts w:ascii="Arial" w:cs="Arial" w:eastAsia="Arial" w:hAnsi="Arial"/>
          <w:sz w:val="17"/>
          <w:szCs w:val="17"/>
          <w:color w:val="auto"/>
        </w:rPr>
        <w:t>According to the most recent statistics available, in</w:t>
      </w:r>
      <w:r>
        <w:rPr>
          <w:rFonts w:ascii="Arial" w:cs="Arial" w:eastAsia="Arial" w:hAnsi="Arial"/>
          <w:sz w:val="17"/>
          <w:szCs w:val="17"/>
          <w:b w:val="1"/>
          <w:bCs w:val="1"/>
          <w:color w:val="auto"/>
        </w:rPr>
        <w:t xml:space="preserve"> </w:t>
      </w:r>
      <w:r>
        <w:rPr>
          <w:rFonts w:ascii="Arial" w:cs="Arial" w:eastAsia="Arial" w:hAnsi="Arial"/>
          <w:sz w:val="17"/>
          <w:szCs w:val="17"/>
          <w:color w:val="auto"/>
        </w:rPr>
        <w:t>August 2008 the industry saw a 16.9% quarter-to-date decrease in shipments of HUD-code homes from the same period of 2007. Modular shipments decreased 34% in the second quarter of 2008 from the same period of 2007, and the Company expects that this trend will have continued into the third quarter. The Company believes the manufactured housing market will remain depressed until the oversupply of site-built homes is absorbed and credit conditions improve.</w:t>
      </w:r>
    </w:p>
    <w:p>
      <w:pPr>
        <w:spacing w:after="0" w:line="145" w:lineRule="exact"/>
        <w:rPr>
          <w:sz w:val="20"/>
          <w:szCs w:val="20"/>
          <w:color w:val="auto"/>
        </w:rPr>
      </w:pPr>
    </w:p>
    <w:p>
      <w:pPr>
        <w:ind w:right="659"/>
        <w:spacing w:after="0" w:line="342" w:lineRule="auto"/>
        <w:rPr>
          <w:sz w:val="20"/>
          <w:szCs w:val="20"/>
          <w:color w:val="auto"/>
        </w:rPr>
      </w:pPr>
      <w:r>
        <w:rPr>
          <w:rFonts w:ascii="Arial" w:cs="Arial" w:eastAsia="Arial" w:hAnsi="Arial"/>
          <w:sz w:val="16"/>
          <w:szCs w:val="16"/>
          <w:color w:val="auto"/>
        </w:rPr>
        <w:t>Overall, the Company faces continued price pressure due to low volumes and struggling competition. The Company believes its cost reduction efforts will continue to drive down its costs and will have a more significant impact in future reporting periods.</w:t>
      </w:r>
    </w:p>
    <w:p>
      <w:pPr>
        <w:spacing w:after="0" w:line="83" w:lineRule="exact"/>
        <w:rPr>
          <w:sz w:val="20"/>
          <w:szCs w:val="20"/>
          <w:color w:val="auto"/>
        </w:rPr>
      </w:pPr>
    </w:p>
    <w:p>
      <w:pPr>
        <w:jc w:val="right"/>
        <w:ind w:right="559"/>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ind w:right="559"/>
        <w:spacing w:after="0" w:line="295" w:lineRule="auto"/>
        <w:rPr>
          <w:sz w:val="20"/>
          <w:szCs w:val="20"/>
          <w:color w:val="auto"/>
        </w:rPr>
      </w:pPr>
      <w:r>
        <w:rPr>
          <w:rFonts w:ascii="Arial" w:cs="Arial" w:eastAsia="Arial" w:hAnsi="Arial"/>
          <w:sz w:val="16"/>
          <w:szCs w:val="16"/>
          <w:color w:val="auto"/>
        </w:rPr>
        <w:t>Due to the unprecedented and prevailing uncertainties throughout the capital markets, which have a direct and material impact on the markets Universal serves, the Company does not believe its previous sales and earnings targets for 2008 are achievable. In addition, the Company believes that current economic conditions limit its ability to provide meaningful guidance for the ranges of likely financial performance; therefore, the Company will not provide guidance for the foreseeable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ind w:right="639"/>
        <w:spacing w:after="0" w:line="269" w:lineRule="auto"/>
        <w:rPr>
          <w:sz w:val="20"/>
          <w:szCs w:val="20"/>
          <w:color w:val="auto"/>
        </w:rPr>
      </w:pPr>
      <w:r>
        <w:rPr>
          <w:rFonts w:ascii="Arial" w:cs="Arial" w:eastAsia="Arial" w:hAnsi="Arial"/>
          <w:sz w:val="17"/>
          <w:szCs w:val="17"/>
          <w:color w:val="auto"/>
        </w:rPr>
        <w:t xml:space="preserve">Universal Forest Products will conduct a conference call to discuss information included in this news release and related matters at 8:30 a.m. EDT on Thursday, October 16, 2008. The call will be hosted by Executive Chairman William G. Currie, President and CEO Michael B. Glenn, and Chief Financial Officer Michael Cole, and will be available for analysts and institutional investors domestically at (866) 700-6979 and internationally at (617) 213-8836. Use participant password 30016238. The conference call will be available simultaneously and in its entirety to all interested investors and news media through a webcast at </w:t>
      </w:r>
      <w:r>
        <w:rPr>
          <w:rFonts w:ascii="Arial" w:cs="Arial" w:eastAsia="Arial" w:hAnsi="Arial"/>
          <w:sz w:val="17"/>
          <w:szCs w:val="17"/>
          <w:u w:val="single" w:color="auto"/>
          <w:color w:val="auto"/>
        </w:rPr>
        <w:t>http://www.ufpi.com</w:t>
      </w:r>
      <w:r>
        <w:rPr>
          <w:rFonts w:ascii="Arial" w:cs="Arial" w:eastAsia="Arial" w:hAnsi="Arial"/>
          <w:sz w:val="17"/>
          <w:szCs w:val="17"/>
          <w:color w:val="auto"/>
        </w:rPr>
        <w:t>. A replay of the call will be available through November 17, 2008, domestically at (888) 286-8010 and internationally at (617) 801-6888. Use participant password 35349732.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right="739"/>
        <w:spacing w:after="0" w:line="270" w:lineRule="auto"/>
        <w:rPr>
          <w:sz w:val="20"/>
          <w:szCs w:val="20"/>
          <w:color w:val="auto"/>
        </w:rPr>
      </w:pPr>
      <w:r>
        <w:rPr>
          <w:rFonts w:ascii="Arial" w:cs="Arial" w:eastAsia="Arial" w:hAnsi="Arial"/>
          <w:sz w:val="17"/>
          <w:szCs w:val="17"/>
          <w:color w:val="auto"/>
        </w:rPr>
        <w:t xml:space="preserve">Headquartered in Grand Rapids, Mich., with approximately 85 facilities throughout North America, Universal Forest Products engineers, manufactures and markets wood and wood-alternative products for DIY/retail home centers, structural lumber products for the manufactured housing industry, engineered wood components for the site-built construction market, and specialty wood packaging and components for various industries. The 53-year-old Company also provides framing services for the site-built market, and forms for concrete construction. For 2007, the Company reported sales of more than $2.5 billion. For information about Universal Forest Products, visit </w:t>
      </w:r>
      <w:r>
        <w:rPr>
          <w:rFonts w:ascii="Arial" w:cs="Arial" w:eastAsia="Arial" w:hAnsi="Arial"/>
          <w:sz w:val="17"/>
          <w:szCs w:val="17"/>
          <w:u w:val="single" w:color="auto"/>
          <w:color w:val="auto"/>
        </w:rPr>
        <w:t>www.ufpi.com</w:t>
      </w:r>
      <w:r>
        <w:rPr>
          <w:rFonts w:ascii="Arial" w:cs="Arial" w:eastAsia="Arial" w:hAnsi="Arial"/>
          <w:sz w:val="17"/>
          <w:szCs w:val="17"/>
          <w:color w:val="auto"/>
        </w:rPr>
        <w:t>.</w:t>
      </w:r>
    </w:p>
    <w:p>
      <w:pPr>
        <w:spacing w:after="0" w:line="152" w:lineRule="exact"/>
        <w:rPr>
          <w:sz w:val="20"/>
          <w:szCs w:val="20"/>
          <w:color w:val="auto"/>
        </w:rPr>
      </w:pPr>
    </w:p>
    <w:p>
      <w:pPr>
        <w:ind w:right="659"/>
        <w:spacing w:after="0" w:line="288" w:lineRule="auto"/>
        <w:rPr>
          <w:sz w:val="20"/>
          <w:szCs w:val="20"/>
          <w:color w:val="auto"/>
        </w:rPr>
      </w:pPr>
      <w:r>
        <w:rPr>
          <w:rFonts w:ascii="Arial" w:cs="Arial" w:eastAsia="Arial" w:hAnsi="Arial"/>
          <w:sz w:val="16"/>
          <w:szCs w:val="16"/>
          <w:color w:val="auto"/>
        </w:rPr>
        <w:t>Please be aware that: Any statements included in this press release that are not historical facts are forward-looking statements within the meaning of Section 21E of the Securities Exchange Act of 1934, as amended. Such forward-looking statements are based on the beliefs of the Company’s management as well as on assumptions made by, and information currently available to, the Company at the time such statements were made.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Adverse lumber market trends, competitive activity, negative economic trends, government regulations and weather. Certain of these risk factors and additional information are included in the Company’s reports on Form 10-K and 10-Q on file with the Securities and Exchange Commission.</w:t>
      </w:r>
    </w:p>
    <w:p>
      <w:pPr>
        <w:spacing w:after="0" w:line="12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180" w:lineRule="exact"/>
        <w:rPr>
          <w:sz w:val="20"/>
          <w:szCs w:val="20"/>
          <w:color w:val="auto"/>
        </w:rPr>
      </w:pPr>
    </w:p>
    <w:p>
      <w:pPr>
        <w:jc w:val="center"/>
        <w:ind w:right="559"/>
        <w:spacing w:after="0" w:line="266" w:lineRule="auto"/>
        <w:rPr>
          <w:sz w:val="20"/>
          <w:szCs w:val="20"/>
          <w:color w:val="auto"/>
        </w:rPr>
      </w:pPr>
      <w:r>
        <w:rPr>
          <w:rFonts w:ascii="Arial" w:cs="Arial" w:eastAsia="Arial" w:hAnsi="Arial"/>
          <w:sz w:val="18"/>
          <w:szCs w:val="18"/>
          <w:b w:val="1"/>
          <w:bCs w:val="1"/>
          <w:color w:val="auto"/>
        </w:rPr>
        <w:t>CONSOLIDATED STATEMENTS OF EARNINGS (UNAUDITED) FOR THE NINE MONTHS ENDED SEPTEMBER 2008/2007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94"/>
              </w:rPr>
              <w:t>(In thousands, except per share data)</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w w:val="95"/>
              </w:rPr>
              <w:t>Quarter Period</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8"/>
                <w:szCs w:val="18"/>
                <w:b w:val="1"/>
                <w:bCs w:val="1"/>
                <w:color w:val="auto"/>
              </w:rPr>
              <w:t>Year to Date</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40" w:type="dxa"/>
            <w:vAlign w:val="bottom"/>
            <w:gridSpan w:val="5"/>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$610,744</w:t>
            </w: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678,398</w:t>
            </w:r>
          </w:p>
        </w:tc>
        <w:tc>
          <w:tcPr>
            <w:tcW w:w="164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100% $1,808,741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5"/>
              </w:rPr>
              <w:t>$2,000,541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700" w:type="dxa"/>
            <w:vAlign w:val="bottom"/>
            <w:gridSpan w:val="3"/>
          </w:tcPr>
          <w:p>
            <w:pPr>
              <w:spacing w:after="0"/>
              <w:rPr>
                <w:sz w:val="20"/>
                <w:szCs w:val="20"/>
                <w:color w:val="auto"/>
              </w:rPr>
            </w:pPr>
            <w:r>
              <w:rPr>
                <w:rFonts w:ascii="Arial" w:cs="Arial" w:eastAsia="Arial" w:hAnsi="Arial"/>
                <w:sz w:val="18"/>
                <w:szCs w:val="18"/>
                <w:b w:val="1"/>
                <w:bCs w:val="1"/>
                <w:color w:val="auto"/>
              </w:rPr>
              <w:t>COST OF GOODS SOLD</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545,222</w:t>
            </w: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596,233</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87.9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1,603,521</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88.7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1,743,151</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65,522</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82,165</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205,220</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257,390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414"/>
        </w:trPr>
        <w:tc>
          <w:tcPr>
            <w:tcW w:w="2700" w:type="dxa"/>
            <w:vAlign w:val="bottom"/>
            <w:gridSpan w:val="3"/>
          </w:tcPr>
          <w:p>
            <w:pPr>
              <w:spacing w:after="0"/>
              <w:rPr>
                <w:sz w:val="20"/>
                <w:szCs w:val="20"/>
                <w:color w:val="auto"/>
              </w:rPr>
            </w:pPr>
            <w:r>
              <w:rPr>
                <w:rFonts w:ascii="Arial" w:cs="Arial" w:eastAsia="Arial" w:hAnsi="Arial"/>
                <w:sz w:val="18"/>
                <w:szCs w:val="18"/>
                <w:b w:val="1"/>
                <w:bCs w:val="1"/>
                <w:color w:val="auto"/>
              </w:rPr>
              <w:t>SELLING, GENERAL AND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gridSpan w:val="6"/>
          </w:tcPr>
          <w:p>
            <w:pPr>
              <w:ind w:left="200"/>
              <w:spacing w:after="0"/>
              <w:rPr>
                <w:sz w:val="20"/>
                <w:szCs w:val="20"/>
                <w:color w:val="auto"/>
              </w:rPr>
            </w:pPr>
            <w:r>
              <w:rPr>
                <w:rFonts w:ascii="Arial" w:cs="Arial" w:eastAsia="Arial" w:hAnsi="Arial"/>
                <w:sz w:val="18"/>
                <w:szCs w:val="18"/>
                <w:b w:val="1"/>
                <w:bCs w:val="1"/>
                <w:color w:val="auto"/>
              </w:rPr>
              <w:t>ADMINISTRATIVE EXPENSES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58,046</w:t>
            </w:r>
          </w:p>
        </w:tc>
        <w:tc>
          <w:tcPr>
            <w:tcW w:w="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58,792</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178,302</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192,299</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8"/>
        </w:trPr>
        <w:tc>
          <w:tcPr>
            <w:tcW w:w="27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NET LOSS ON DISPOSITION OF</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ASSETS AND 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IMPAIRMENT AND EXIT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CHARGES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7,426</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1"/>
        </w:trPr>
        <w:tc>
          <w:tcPr>
            <w:tcW w:w="2700" w:type="dxa"/>
            <w:vAlign w:val="bottom"/>
            <w:gridSpan w:val="3"/>
          </w:tcPr>
          <w:p>
            <w:pPr>
              <w:spacing w:after="0"/>
              <w:rPr>
                <w:sz w:val="20"/>
                <w:szCs w:val="20"/>
                <w:color w:val="auto"/>
              </w:rPr>
            </w:pPr>
            <w:r>
              <w:rPr>
                <w:rFonts w:ascii="Arial" w:cs="Arial" w:eastAsia="Arial" w:hAnsi="Arial"/>
                <w:sz w:val="18"/>
                <w:szCs w:val="18"/>
                <w:b w:val="1"/>
                <w:bCs w:val="1"/>
                <w:color w:val="auto"/>
              </w:rPr>
              <w:t>EARNINGS (LOSS) FROM</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00" w:type="dxa"/>
            <w:vAlign w:val="bottom"/>
            <w:gridSpan w:val="3"/>
          </w:tcPr>
          <w:p>
            <w:pPr>
              <w:ind w:left="200"/>
              <w:spacing w:after="0"/>
              <w:rPr>
                <w:sz w:val="20"/>
                <w:szCs w:val="20"/>
                <w:color w:val="auto"/>
              </w:rPr>
            </w:pPr>
            <w:r>
              <w:rPr>
                <w:rFonts w:ascii="Arial" w:cs="Arial" w:eastAsia="Arial" w:hAnsi="Arial"/>
                <w:sz w:val="18"/>
                <w:szCs w:val="18"/>
                <w:b w:val="1"/>
                <w:bCs w:val="1"/>
                <w:color w:val="auto"/>
              </w:rPr>
              <w:t>OPERATIONS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1,265</w:t>
            </w:r>
          </w:p>
        </w:tc>
        <w:tc>
          <w:tcPr>
            <w:tcW w:w="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23,373</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19,492</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65,091</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Interest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4,367</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9,589</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13,457</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700" w:type="dxa"/>
            <w:vAlign w:val="bottom"/>
            <w:gridSpan w:val="3"/>
          </w:tcPr>
          <w:p>
            <w:pPr>
              <w:ind w:left="200"/>
              <w:spacing w:after="0"/>
              <w:rPr>
                <w:sz w:val="20"/>
                <w:szCs w:val="20"/>
                <w:color w:val="auto"/>
              </w:rPr>
            </w:pPr>
            <w:r>
              <w:rPr>
                <w:rFonts w:ascii="Arial" w:cs="Arial" w:eastAsia="Arial" w:hAnsi="Arial"/>
                <w:sz w:val="18"/>
                <w:szCs w:val="18"/>
                <w:b w:val="1"/>
                <w:bCs w:val="1"/>
                <w:color w:val="auto"/>
              </w:rPr>
              <w:t>Interest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(494)</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(763)</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(1,634)</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3,873</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8,826</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11,823</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421"/>
        </w:trPr>
        <w:tc>
          <w:tcPr>
            <w:tcW w:w="2700" w:type="dxa"/>
            <w:vAlign w:val="bottom"/>
            <w:gridSpan w:val="3"/>
          </w:tcPr>
          <w:p>
            <w:pPr>
              <w:spacing w:after="0"/>
              <w:rPr>
                <w:sz w:val="20"/>
                <w:szCs w:val="20"/>
                <w:color w:val="auto"/>
              </w:rPr>
            </w:pPr>
            <w:r>
              <w:rPr>
                <w:rFonts w:ascii="Arial" w:cs="Arial" w:eastAsia="Arial" w:hAnsi="Arial"/>
                <w:sz w:val="18"/>
                <w:szCs w:val="18"/>
                <w:b w:val="1"/>
                <w:bCs w:val="1"/>
                <w:color w:val="auto"/>
              </w:rPr>
              <w:t>EARNINGS (LOSS) BEFORE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ind w:left="200"/>
              <w:spacing w:after="0"/>
              <w:rPr>
                <w:sz w:val="20"/>
                <w:szCs w:val="20"/>
                <w:color w:val="auto"/>
              </w:rPr>
            </w:pPr>
            <w:r>
              <w:rPr>
                <w:rFonts w:ascii="Arial" w:cs="Arial" w:eastAsia="Arial" w:hAnsi="Arial"/>
                <w:sz w:val="18"/>
                <w:szCs w:val="18"/>
                <w:b w:val="1"/>
                <w:bCs w:val="1"/>
                <w:color w:val="auto"/>
              </w:rPr>
              <w:t>INCOME TAXES AND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MINORITY INTEREST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94"/>
              </w:rPr>
              <w:t>(1,229)</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19,500</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10,666</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53,268</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7,383</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4,655</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19,633</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21"/>
        </w:trPr>
        <w:tc>
          <w:tcPr>
            <w:tcW w:w="2700" w:type="dxa"/>
            <w:vAlign w:val="bottom"/>
            <w:gridSpan w:val="3"/>
          </w:tcPr>
          <w:p>
            <w:pPr>
              <w:spacing w:after="0"/>
              <w:rPr>
                <w:sz w:val="20"/>
                <w:szCs w:val="20"/>
                <w:color w:val="auto"/>
              </w:rPr>
            </w:pPr>
            <w:r>
              <w:rPr>
                <w:rFonts w:ascii="Arial" w:cs="Arial" w:eastAsia="Arial" w:hAnsi="Arial"/>
                <w:sz w:val="18"/>
                <w:szCs w:val="18"/>
                <w:b w:val="1"/>
                <w:bCs w:val="1"/>
                <w:color w:val="auto"/>
              </w:rPr>
              <w:t>EARNINGS (LOSS) BEFORE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MINORITY INTEREST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94"/>
              </w:rPr>
              <w:t>(1,764)</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12,117</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6,011</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33,635</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MINORITY INTEREST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(778)</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00" w:type="dxa"/>
            <w:vAlign w:val="bottom"/>
            <w:gridSpan w:val="3"/>
          </w:tcPr>
          <w:p>
            <w:pPr>
              <w:spacing w:after="0"/>
              <w:rPr>
                <w:sz w:val="20"/>
                <w:szCs w:val="20"/>
                <w:color w:val="auto"/>
              </w:rPr>
            </w:pPr>
            <w:r>
              <w:rPr>
                <w:rFonts w:ascii="Arial" w:cs="Arial" w:eastAsia="Arial" w:hAnsi="Arial"/>
                <w:sz w:val="18"/>
                <w:szCs w:val="18"/>
                <w:b w:val="1"/>
                <w:bCs w:val="1"/>
                <w:color w:val="auto"/>
              </w:rPr>
              <w:t>NET EARNINGS (LOSS)</w:t>
            </w:r>
          </w:p>
        </w:tc>
        <w:tc>
          <w:tcPr>
            <w:tcW w:w="340" w:type="dxa"/>
            <w:vAlign w:val="bottom"/>
            <w:gridSpan w:val="2"/>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(1,951)</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11,339</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5,136</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32,025</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gridSpan w:val="6"/>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EARNINGS (LOSS) PER SHARE —</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5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0.59</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0.27</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40" w:type="dxa"/>
            <w:vAlign w:val="bottom"/>
            <w:gridSpan w:val="6"/>
          </w:tcPr>
          <w:p>
            <w:pPr>
              <w:spacing w:after="0"/>
              <w:rPr>
                <w:sz w:val="20"/>
                <w:szCs w:val="20"/>
                <w:color w:val="auto"/>
              </w:rPr>
            </w:pPr>
            <w:r>
              <w:rPr>
                <w:rFonts w:ascii="Arial" w:cs="Arial" w:eastAsia="Arial" w:hAnsi="Arial"/>
                <w:sz w:val="18"/>
                <w:szCs w:val="18"/>
                <w:b w:val="1"/>
                <w:bCs w:val="1"/>
                <w:color w:val="auto"/>
              </w:rPr>
              <w:t>EARNINGS (LOSS) PER SHARE —</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00" w:type="dxa"/>
            <w:vAlign w:val="bottom"/>
            <w:gridSpan w:val="3"/>
          </w:tcPr>
          <w:p>
            <w:pPr>
              <w:ind w:left="200"/>
              <w:spacing w:after="0"/>
              <w:rPr>
                <w:sz w:val="20"/>
                <w:szCs w:val="20"/>
                <w:color w:val="auto"/>
              </w:rPr>
            </w:pPr>
            <w:r>
              <w:rPr>
                <w:rFonts w:ascii="Arial" w:cs="Arial" w:eastAsia="Arial" w:hAnsi="Arial"/>
                <w:sz w:val="18"/>
                <w:szCs w:val="18"/>
                <w:b w:val="1"/>
                <w:bCs w:val="1"/>
                <w:color w:val="auto"/>
              </w:rPr>
              <w:t>DILUTED</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0.59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0.27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WEIGHTED AVERAGE SHARES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 FOR BASIC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EARNINGS (LOSS)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19,092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19,097</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19,045</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19,070</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700" w:type="dxa"/>
            <w:vAlign w:val="bottom"/>
            <w:gridSpan w:val="3"/>
          </w:tcPr>
          <w:p>
            <w:pPr>
              <w:spacing w:after="0"/>
              <w:rPr>
                <w:sz w:val="20"/>
                <w:szCs w:val="20"/>
                <w:color w:val="auto"/>
              </w:rPr>
            </w:pPr>
            <w:r>
              <w:rPr>
                <w:rFonts w:ascii="Arial" w:cs="Arial" w:eastAsia="Arial" w:hAnsi="Arial"/>
                <w:sz w:val="18"/>
                <w:szCs w:val="18"/>
                <w:b w:val="1"/>
                <w:bCs w:val="1"/>
                <w:color w:val="auto"/>
                <w:w w:val="98"/>
              </w:rPr>
              <w:t>WEIGHTED AVERAGE SHARES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gridSpan w:val="6"/>
          </w:tcPr>
          <w:p>
            <w:pPr>
              <w:ind w:left="200"/>
              <w:spacing w:after="0"/>
              <w:rPr>
                <w:sz w:val="20"/>
                <w:szCs w:val="20"/>
                <w:color w:val="auto"/>
              </w:rPr>
            </w:pPr>
            <w:r>
              <w:rPr>
                <w:rFonts w:ascii="Arial" w:cs="Arial" w:eastAsia="Arial" w:hAnsi="Arial"/>
                <w:sz w:val="18"/>
                <w:szCs w:val="18"/>
                <w:b w:val="1"/>
                <w:bCs w:val="1"/>
                <w:color w:val="auto"/>
              </w:rPr>
              <w:t>OUTSTANDING FOR DILUTED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gridSpan w:val="3"/>
          </w:tcPr>
          <w:p>
            <w:pPr>
              <w:ind w:left="200"/>
              <w:spacing w:after="0"/>
              <w:rPr>
                <w:sz w:val="20"/>
                <w:szCs w:val="20"/>
                <w:color w:val="auto"/>
              </w:rPr>
            </w:pPr>
            <w:r>
              <w:rPr>
                <w:rFonts w:ascii="Arial" w:cs="Arial" w:eastAsia="Arial" w:hAnsi="Arial"/>
                <w:sz w:val="18"/>
                <w:szCs w:val="18"/>
                <w:b w:val="1"/>
                <w:bCs w:val="1"/>
                <w:color w:val="auto"/>
              </w:rPr>
              <w:t>EARNINGS (LOSS)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19,092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19,361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19,233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19,419</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700" w:type="dxa"/>
            <w:vAlign w:val="bottom"/>
            <w:gridSpan w:val="3"/>
          </w:tcPr>
          <w:p>
            <w:pPr>
              <w:spacing w:after="0"/>
              <w:rPr>
                <w:sz w:val="20"/>
                <w:szCs w:val="20"/>
                <w:color w:val="auto"/>
              </w:rPr>
            </w:pPr>
            <w:r>
              <w:rPr>
                <w:rFonts w:ascii="Arial" w:cs="Arial" w:eastAsia="Arial" w:hAnsi="Arial"/>
                <w:sz w:val="18"/>
                <w:szCs w:val="18"/>
                <w:b w:val="1"/>
                <w:bCs w:val="1"/>
                <w:color w:val="auto"/>
              </w:rPr>
              <w:t>SUPPLEMENTAL SALES DATA</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5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Market Classification</w:t>
            </w:r>
          </w:p>
        </w:tc>
        <w:tc>
          <w:tcPr>
            <w:tcW w:w="20" w:type="dxa"/>
            <w:vAlign w:val="bottom"/>
            <w:tcBorders>
              <w:top w:val="single" w:sz="8" w:color="auto"/>
              <w:bottom w:val="single" w:sz="8" w:color="auto"/>
            </w:tcBorders>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11"/>
          </w:tcPr>
          <w:p>
            <w:pPr>
              <w:jc w:val="right"/>
              <w:ind w:right="560"/>
              <w:spacing w:after="0"/>
              <w:rPr>
                <w:sz w:val="20"/>
                <w:szCs w:val="20"/>
                <w:color w:val="auto"/>
              </w:rPr>
            </w:pPr>
            <w:r>
              <w:rPr>
                <w:rFonts w:ascii="Arial" w:cs="Arial" w:eastAsia="Arial" w:hAnsi="Arial"/>
                <w:sz w:val="18"/>
                <w:szCs w:val="18"/>
                <w:b w:val="1"/>
                <w:bCs w:val="1"/>
                <w:color w:val="auto"/>
              </w:rPr>
              <w:t>Quarter Period</w:t>
            </w:r>
          </w:p>
        </w:tc>
        <w:tc>
          <w:tcPr>
            <w:tcW w:w="3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8"/>
                <w:szCs w:val="18"/>
                <w:b w:val="1"/>
                <w:bCs w:val="1"/>
                <w:color w:val="auto"/>
                <w:w w:val="98"/>
              </w:rPr>
              <w:t>Year to Date</w:t>
            </w:r>
          </w:p>
        </w:tc>
        <w:tc>
          <w:tcPr>
            <w:tcW w:w="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8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Do-It-Yourself/Retail</w:t>
            </w:r>
          </w:p>
        </w:tc>
        <w:tc>
          <w:tcPr>
            <w:tcW w:w="92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w w:val="90"/>
              </w:rPr>
              <w:t>$251,559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7"/>
            <w:shd w:val="clear" w:color="auto" w:fill="CCEEFF"/>
          </w:tcPr>
          <w:p>
            <w:pPr>
              <w:jc w:val="right"/>
              <w:ind w:right="150"/>
              <w:spacing w:after="0"/>
              <w:rPr>
                <w:sz w:val="20"/>
                <w:szCs w:val="20"/>
                <w:color w:val="auto"/>
              </w:rPr>
            </w:pPr>
            <w:r>
              <w:rPr>
                <w:rFonts w:ascii="Arial" w:cs="Arial" w:eastAsia="Arial" w:hAnsi="Arial"/>
                <w:sz w:val="18"/>
                <w:szCs w:val="18"/>
                <w:color w:val="auto"/>
                <w:w w:val="97"/>
              </w:rPr>
              <w:t>40%  $267,291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758,898</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823,173</w:t>
            </w:r>
          </w:p>
        </w:tc>
        <w:tc>
          <w:tcPr>
            <w:tcW w:w="22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b w:val="1"/>
                <w:bCs w:val="1"/>
                <w:color w:val="auto"/>
              </w:rPr>
              <w:t>Site-Built Construction</w:t>
            </w:r>
          </w:p>
        </w:tc>
        <w:tc>
          <w:tcPr>
            <w:tcW w:w="920" w:type="dxa"/>
            <w:vAlign w:val="bottom"/>
            <w:gridSpan w:val="5"/>
          </w:tcPr>
          <w:p>
            <w:pPr>
              <w:jc w:val="right"/>
              <w:ind w:right="130"/>
              <w:spacing w:after="0"/>
              <w:rPr>
                <w:sz w:val="20"/>
                <w:szCs w:val="20"/>
                <w:color w:val="auto"/>
              </w:rPr>
            </w:pPr>
            <w:r>
              <w:rPr>
                <w:rFonts w:ascii="Arial" w:cs="Arial" w:eastAsia="Arial" w:hAnsi="Arial"/>
                <w:sz w:val="18"/>
                <w:szCs w:val="18"/>
                <w:color w:val="auto"/>
              </w:rPr>
              <w:t>119,772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19%</w:t>
            </w:r>
          </w:p>
        </w:tc>
        <w:tc>
          <w:tcPr>
            <w:tcW w:w="80" w:type="dxa"/>
            <w:vAlign w:val="bottom"/>
          </w:tcPr>
          <w:p>
            <w:pPr>
              <w:spacing w:after="0"/>
              <w:rPr>
                <w:sz w:val="18"/>
                <w:szCs w:val="18"/>
                <w:color w:val="auto"/>
              </w:rPr>
            </w:pPr>
          </w:p>
        </w:tc>
        <w:tc>
          <w:tcPr>
            <w:tcW w:w="860" w:type="dxa"/>
            <w:vAlign w:val="bottom"/>
            <w:gridSpan w:val="4"/>
          </w:tcPr>
          <w:p>
            <w:pPr>
              <w:jc w:val="right"/>
              <w:ind w:right="150"/>
              <w:spacing w:after="0"/>
              <w:rPr>
                <w:sz w:val="20"/>
                <w:szCs w:val="20"/>
                <w:color w:val="auto"/>
              </w:rPr>
            </w:pPr>
            <w:r>
              <w:rPr>
                <w:rFonts w:ascii="Arial" w:cs="Arial" w:eastAsia="Arial" w:hAnsi="Arial"/>
                <w:sz w:val="18"/>
                <w:szCs w:val="18"/>
                <w:color w:val="auto"/>
                <w:w w:val="92"/>
              </w:rPr>
              <w:t>158,035</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361,430</w:t>
            </w:r>
          </w:p>
        </w:tc>
        <w:tc>
          <w:tcPr>
            <w:tcW w:w="6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457,663</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Industrial</w:t>
            </w:r>
          </w:p>
        </w:tc>
        <w:tc>
          <w:tcPr>
            <w:tcW w:w="92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166,327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27%</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jc w:val="right"/>
              <w:ind w:right="150"/>
              <w:spacing w:after="0"/>
              <w:rPr>
                <w:sz w:val="20"/>
                <w:szCs w:val="20"/>
                <w:color w:val="auto"/>
              </w:rPr>
            </w:pPr>
            <w:r>
              <w:rPr>
                <w:rFonts w:ascii="Arial" w:cs="Arial" w:eastAsia="Arial" w:hAnsi="Arial"/>
                <w:sz w:val="18"/>
                <w:szCs w:val="18"/>
                <w:color w:val="auto"/>
                <w:w w:val="92"/>
              </w:rPr>
              <w:t>157,836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480,947</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455,129</w:t>
            </w:r>
          </w:p>
        </w:tc>
        <w:tc>
          <w:tcPr>
            <w:tcW w:w="22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b w:val="1"/>
                <w:bCs w:val="1"/>
                <w:color w:val="auto"/>
              </w:rPr>
              <w:t>Manufactured Housing</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85,215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14%</w:t>
            </w:r>
          </w:p>
        </w:tc>
        <w:tc>
          <w:tcPr>
            <w:tcW w:w="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110,006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245,713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304,426</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Gross Sales</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622,873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1"/>
              </w:rPr>
              <w:t>100%</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693,168</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1,846,988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2,040,391</w:t>
            </w:r>
          </w:p>
        </w:tc>
        <w:tc>
          <w:tcPr>
            <w:tcW w:w="22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b w:val="1"/>
                <w:bCs w:val="1"/>
                <w:color w:val="auto"/>
              </w:rPr>
              <w:t>Sales Allowances</w:t>
            </w:r>
          </w:p>
        </w:tc>
        <w:tc>
          <w:tcPr>
            <w:tcW w:w="920" w:type="dxa"/>
            <w:vAlign w:val="bottom"/>
            <w:gridSpan w:val="5"/>
          </w:tcPr>
          <w:p>
            <w:pPr>
              <w:jc w:val="right"/>
              <w:ind w:right="70"/>
              <w:spacing w:after="0"/>
              <w:rPr>
                <w:sz w:val="20"/>
                <w:szCs w:val="20"/>
                <w:color w:val="auto"/>
              </w:rPr>
            </w:pPr>
            <w:r>
              <w:rPr>
                <w:rFonts w:ascii="Arial" w:cs="Arial" w:eastAsia="Arial" w:hAnsi="Arial"/>
                <w:sz w:val="18"/>
                <w:szCs w:val="18"/>
                <w:color w:val="auto"/>
              </w:rPr>
              <w:t>(12,129)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90"/>
              <w:spacing w:after="0"/>
              <w:rPr>
                <w:sz w:val="20"/>
                <w:szCs w:val="20"/>
                <w:color w:val="auto"/>
              </w:rPr>
            </w:pPr>
            <w:r>
              <w:rPr>
                <w:rFonts w:ascii="Arial" w:cs="Arial" w:eastAsia="Arial" w:hAnsi="Arial"/>
                <w:sz w:val="18"/>
                <w:szCs w:val="18"/>
                <w:color w:val="auto"/>
                <w:w w:val="98"/>
              </w:rPr>
              <w:t>(14,770)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(38,247)</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(39,850)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Net Sales</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610,744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678,398</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1,808,741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2,000,541</w:t>
            </w: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879"/>
          </w:cols>
          <w:pgMar w:left="580" w:top="931" w:right="1440" w:bottom="333"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PAGE 5</w:t>
      </w:r>
    </w:p>
    <w:p>
      <w:pPr>
        <w:spacing w:after="0" w:line="180"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SEPTEMBER 2008/2007</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31,459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46,747</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230,106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191,023</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197,843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228,799</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11,950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25,411</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46,247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31,669</w:t>
            </w:r>
          </w:p>
        </w:tc>
      </w:tr>
      <w:tr>
        <w:trPr>
          <w:trHeight w:val="223"/>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517,605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523,649</w:t>
            </w:r>
          </w:p>
        </w:tc>
      </w:tr>
      <w:tr>
        <w:trPr>
          <w:trHeight w:val="432"/>
        </w:trPr>
        <w:tc>
          <w:tcPr>
            <w:tcW w:w="65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7,587</w:t>
            </w: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7,744</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183,512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180,174</w:t>
            </w: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250,078</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283,179</w:t>
            </w:r>
          </w:p>
        </w:tc>
      </w:tr>
      <w:tr>
        <w:trPr>
          <w:trHeight w:val="223"/>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958,782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994,746</w:t>
            </w: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101,430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105,938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92,458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85,997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Current portion of long-term debt and capital leases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1,086</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194,333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193,021</w:t>
            </w:r>
          </w:p>
        </w:tc>
        <w:tc>
          <w:tcPr>
            <w:tcW w:w="1760" w:type="dxa"/>
            <w:vAlign w:val="bottom"/>
          </w:tcPr>
          <w:p>
            <w:pPr>
              <w:spacing w:after="0"/>
              <w:rPr>
                <w:sz w:val="18"/>
                <w:szCs w:val="18"/>
                <w:color w:val="auto"/>
              </w:rPr>
            </w:pPr>
          </w:p>
        </w:tc>
      </w:tr>
      <w:tr>
        <w:trPr>
          <w:trHeight w:val="414"/>
        </w:trPr>
        <w:tc>
          <w:tcPr>
            <w:tcW w:w="34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LONG-TERM DEBT AND CAPITAL LEASE OBLIGATIONS,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6560" w:type="dxa"/>
            <w:vAlign w:val="bottom"/>
          </w:tcPr>
          <w:p>
            <w:pPr>
              <w:ind w:left="200"/>
              <w:spacing w:after="0"/>
              <w:rPr>
                <w:sz w:val="20"/>
                <w:szCs w:val="20"/>
                <w:color w:val="auto"/>
              </w:rPr>
            </w:pPr>
            <w:r>
              <w:rPr>
                <w:rFonts w:ascii="Arial" w:cs="Arial" w:eastAsia="Arial" w:hAnsi="Arial"/>
                <w:sz w:val="18"/>
                <w:szCs w:val="18"/>
                <w:b w:val="1"/>
                <w:bCs w:val="1"/>
                <w:color w:val="auto"/>
              </w:rPr>
              <w:t>less current portion</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166,713</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197,435</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52,346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53,168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545,390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551,122</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958,782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994,746</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6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180" w:lineRule="exact"/>
        <w:rPr>
          <w:sz w:val="20"/>
          <w:szCs w:val="20"/>
          <w:color w:val="auto"/>
        </w:rPr>
      </w:pPr>
    </w:p>
    <w:p>
      <w:pPr>
        <w:jc w:val="center"/>
        <w:ind w:right="559"/>
        <w:spacing w:after="0" w:line="266" w:lineRule="auto"/>
        <w:rPr>
          <w:sz w:val="20"/>
          <w:szCs w:val="20"/>
          <w:color w:val="auto"/>
        </w:rPr>
      </w:pPr>
      <w:r>
        <w:rPr>
          <w:rFonts w:ascii="Arial" w:cs="Arial" w:eastAsia="Arial" w:hAnsi="Arial"/>
          <w:sz w:val="18"/>
          <w:szCs w:val="18"/>
          <w:b w:val="1"/>
          <w:bCs w:val="1"/>
          <w:color w:val="auto"/>
        </w:rPr>
        <w:t>CONSOLIDATED STATEMENTS OF CASH FLOWS (UNAUDITED) FOR THE NINE MONTHS ENDED SEPTEMBER 2008/2007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earnings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5,136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32,025</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from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28,929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29,105</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7,322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6,402</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Expense associated with share-based compensation arrangements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391</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associated with stock grant plans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1,610</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Gain on sale of interest in subsidiary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on disposition of assets and other impairment and exit charges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6,165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Changes in: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(85,884)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(30,298)</w:t>
            </w: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40,113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34,736</w:t>
            </w: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16,395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12,874</w:t>
            </w: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Accrued liabilities and 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13,592</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(5,483)</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w:t>
            </w:r>
          </w:p>
        </w:tc>
      </w:tr>
      <w:tr>
        <w:trPr>
          <w:trHeight w:val="224"/>
        </w:trPr>
        <w:tc>
          <w:tcPr>
            <w:tcW w:w="6560" w:type="dxa"/>
            <w:vAlign w:val="bottom"/>
          </w:tcPr>
          <w:p>
            <w:pPr>
              <w:ind w:left="600"/>
              <w:spacing w:after="0"/>
              <w:rPr>
                <w:sz w:val="20"/>
                <w:szCs w:val="20"/>
                <w:color w:val="auto"/>
              </w:rPr>
            </w:pPr>
            <w:r>
              <w:rPr>
                <w:rFonts w:ascii="Arial" w:cs="Arial" w:eastAsia="Arial" w:hAnsi="Arial"/>
                <w:sz w:val="18"/>
                <w:szCs w:val="18"/>
                <w:b w:val="1"/>
                <w:bCs w:val="1"/>
                <w:color w:val="auto"/>
              </w:rPr>
              <w:t>NET CASH FROM OPERATING ACTIVITIES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33,314</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80,414</w:t>
            </w:r>
          </w:p>
        </w:tc>
        <w:tc>
          <w:tcPr>
            <w:tcW w:w="100" w:type="dxa"/>
            <w:vAlign w:val="bottom"/>
          </w:tcPr>
          <w:p>
            <w:pPr>
              <w:spacing w:after="0"/>
              <w:rPr>
                <w:sz w:val="19"/>
                <w:szCs w:val="19"/>
                <w:color w:val="auto"/>
              </w:rPr>
            </w:pPr>
          </w:p>
        </w:tc>
      </w:tr>
      <w:tr>
        <w:trPr>
          <w:trHeight w:val="215"/>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(13,959)</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(26,909)</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received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(23,338)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(57,087)</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Proceeds from sale of interest in subsidiary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30,152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Advances on notes receivable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(997)</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Collection of notes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NET CASH FROM INVESTING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(7,694)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(80,022)</w:t>
            </w:r>
          </w:p>
        </w:tc>
      </w:tr>
      <w:tr>
        <w:trPr>
          <w:trHeight w:val="432"/>
        </w:trPr>
        <w:tc>
          <w:tcPr>
            <w:tcW w:w="65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borrowings under revolving credit facilities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(36,657)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27,204</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(2,332)</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(28,200)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Distributions to minority shareholder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(961)</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(1,225)</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Investment received from minority shareholder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(5,273)</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745</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w:t>
            </w:r>
          </w:p>
        </w:tc>
      </w:tr>
      <w:tr>
        <w:trPr>
          <w:trHeight w:val="224"/>
        </w:trPr>
        <w:tc>
          <w:tcPr>
            <w:tcW w:w="6560" w:type="dxa"/>
            <w:vAlign w:val="bottom"/>
          </w:tcPr>
          <w:p>
            <w:pPr>
              <w:ind w:left="600"/>
              <w:spacing w:after="0"/>
              <w:rPr>
                <w:sz w:val="20"/>
                <w:szCs w:val="20"/>
                <w:color w:val="auto"/>
              </w:rPr>
            </w:pPr>
            <w:r>
              <w:rPr>
                <w:rFonts w:ascii="Arial" w:cs="Arial" w:eastAsia="Arial" w:hAnsi="Arial"/>
                <w:sz w:val="18"/>
                <w:szCs w:val="18"/>
                <w:b w:val="1"/>
                <w:bCs w:val="1"/>
                <w:color w:val="auto"/>
              </w:rPr>
              <w:t>NET CASH FROM FINANCING ACTIVITIES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(37,766)</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(4,753)</w:t>
            </w:r>
          </w:p>
        </w:tc>
        <w:tc>
          <w:tcPr>
            <w:tcW w:w="100" w:type="dxa"/>
            <w:vAlign w:val="bottom"/>
          </w:tcPr>
          <w:p>
            <w:pPr>
              <w:spacing w:after="0"/>
              <w:rPr>
                <w:sz w:val="19"/>
                <w:szCs w:val="19"/>
                <w:color w:val="auto"/>
              </w:rPr>
            </w:pPr>
          </w:p>
        </w:tc>
      </w:tr>
      <w:tr>
        <w:trPr>
          <w:trHeight w:val="215"/>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(12,146)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(4,361)</w:t>
            </w:r>
          </w:p>
        </w:tc>
      </w:tr>
      <w:tr>
        <w:trPr>
          <w:trHeight w:val="432"/>
        </w:trPr>
        <w:tc>
          <w:tcPr>
            <w:tcW w:w="65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43,605</w:t>
            </w: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51,108</w:t>
            </w:r>
          </w:p>
        </w:tc>
      </w:tr>
      <w:tr>
        <w:trPr>
          <w:trHeight w:val="223"/>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31,459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46,747</w:t>
            </w: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2019-12-14T02:13:38Z</dcterms:created>
  <dcterms:modified xsi:type="dcterms:W3CDTF">2019-12-14T02:13:38Z</dcterms:modified>
</cp:coreProperties>
</file>