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1"/>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51"/>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ind w:left="4832"/>
        <w:spacing w:after="0"/>
        <w:rPr>
          <w:sz w:val="20"/>
          <w:szCs w:val="20"/>
          <w:color w:val="auto"/>
        </w:rPr>
      </w:pPr>
      <w:r>
        <w:rPr>
          <w:rFonts w:ascii="Arial" w:cs="Arial" w:eastAsia="Arial" w:hAnsi="Arial"/>
          <w:sz w:val="32"/>
          <w:szCs w:val="32"/>
          <w:b w:val="1"/>
          <w:bCs w:val="1"/>
          <w:color w:val="auto"/>
        </w:rPr>
        <w:t>FORM 11-K</w:t>
      </w:r>
    </w:p>
    <w:p>
      <w:pPr>
        <w:spacing w:after="0" w:line="267" w:lineRule="exact"/>
        <w:rPr>
          <w:sz w:val="24"/>
          <w:szCs w:val="24"/>
          <w:color w:val="auto"/>
        </w:rPr>
      </w:pPr>
    </w:p>
    <w:p>
      <w:pPr>
        <w:ind w:left="4092" w:right="320" w:hanging="4092"/>
        <w:spacing w:after="0" w:line="559" w:lineRule="auto"/>
        <w:tabs>
          <w:tab w:leader="none" w:pos="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[NO FEE REQUIRED]. For the fiscal year ended December 31, 2010</w:t>
      </w:r>
    </w:p>
    <w:p>
      <w:pPr>
        <w:spacing w:after="0" w:line="200" w:lineRule="exact"/>
        <w:rPr>
          <w:sz w:val="24"/>
          <w:szCs w:val="24"/>
          <w:color w:val="auto"/>
        </w:rPr>
      </w:pPr>
    </w:p>
    <w:p>
      <w:pPr>
        <w:spacing w:after="0" w:line="213" w:lineRule="exact"/>
        <w:rPr>
          <w:sz w:val="24"/>
          <w:szCs w:val="24"/>
          <w:color w:val="auto"/>
        </w:rPr>
      </w:pPr>
    </w:p>
    <w:p>
      <w:pPr>
        <w:ind w:left="-8" w:firstLine="8"/>
        <w:spacing w:after="0" w:line="515" w:lineRule="auto"/>
        <w:tabs>
          <w:tab w:leader="none" w:pos="478"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15(d) OF THE SECURITIES EXCHANGE ACT OF 1934 [NO FEE REQUIRED]. Commission file number: 0-22684</w:t>
      </w:r>
    </w:p>
    <w:p>
      <w:pPr>
        <w:spacing w:after="0" w:line="1" w:lineRule="exact"/>
        <w:rPr>
          <w:sz w:val="24"/>
          <w:szCs w:val="24"/>
          <w:color w:val="auto"/>
        </w:rPr>
      </w:pPr>
    </w:p>
    <w:p>
      <w:pPr>
        <w:ind w:left="1952"/>
        <w:spacing w:after="0"/>
        <w:rPr>
          <w:sz w:val="20"/>
          <w:szCs w:val="20"/>
          <w:color w:val="auto"/>
        </w:rPr>
      </w:pPr>
      <w:r>
        <w:rPr>
          <w:rFonts w:ascii="Arial" w:cs="Arial" w:eastAsia="Arial" w:hAnsi="Arial"/>
          <w:sz w:val="43"/>
          <w:szCs w:val="43"/>
          <w:b w:val="1"/>
          <w:bCs w:val="1"/>
          <w:color w:val="auto"/>
        </w:rPr>
        <w:t>Shawnlee Construction LLC 401(k) Plan</w:t>
      </w:r>
    </w:p>
    <w:p>
      <w:pPr>
        <w:spacing w:after="0" w:line="277" w:lineRule="exact"/>
        <w:rPr>
          <w:sz w:val="24"/>
          <w:szCs w:val="24"/>
          <w:color w:val="auto"/>
        </w:rPr>
      </w:pPr>
    </w:p>
    <w:p>
      <w:pPr>
        <w:jc w:val="center"/>
        <w:ind w:right="-951"/>
        <w:spacing w:after="0"/>
        <w:rPr>
          <w:sz w:val="20"/>
          <w:szCs w:val="20"/>
          <w:color w:val="auto"/>
        </w:rPr>
      </w:pPr>
      <w:r>
        <w:rPr>
          <w:rFonts w:ascii="Arial" w:cs="Arial" w:eastAsia="Arial" w:hAnsi="Arial"/>
          <w:sz w:val="18"/>
          <w:szCs w:val="18"/>
          <w:color w:val="auto"/>
        </w:rPr>
        <w:t>(Full title of the plan and the address of the plan, if different from that of issuer named below)</w:t>
      </w:r>
    </w:p>
    <w:p>
      <w:pPr>
        <w:spacing w:after="0" w:line="248" w:lineRule="exact"/>
        <w:rPr>
          <w:sz w:val="24"/>
          <w:szCs w:val="24"/>
          <w:color w:val="auto"/>
        </w:rPr>
      </w:pPr>
    </w:p>
    <w:p>
      <w:pPr>
        <w:jc w:val="center"/>
        <w:ind w:right="-9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4"/>
          <w:szCs w:val="24"/>
          <w:color w:val="auto"/>
        </w:rPr>
      </w:pPr>
    </w:p>
    <w:p>
      <w:pPr>
        <w:jc w:val="center"/>
        <w:ind w:right="-951"/>
        <w:spacing w:after="0"/>
        <w:rPr>
          <w:sz w:val="20"/>
          <w:szCs w:val="20"/>
          <w:color w:val="auto"/>
        </w:rPr>
      </w:pPr>
      <w:r>
        <w:rPr>
          <w:rFonts w:ascii="Arial" w:cs="Arial" w:eastAsia="Arial" w:hAnsi="Arial"/>
          <w:sz w:val="18"/>
          <w:szCs w:val="18"/>
          <w:b w:val="1"/>
          <w:bCs w:val="1"/>
          <w:color w:val="auto"/>
        </w:rPr>
        <w:t>2801 East Beltline NE</w:t>
      </w:r>
    </w:p>
    <w:p>
      <w:pPr>
        <w:spacing w:after="0" w:line="9" w:lineRule="exact"/>
        <w:rPr>
          <w:sz w:val="24"/>
          <w:szCs w:val="24"/>
          <w:color w:val="auto"/>
        </w:rPr>
      </w:pPr>
    </w:p>
    <w:p>
      <w:pPr>
        <w:jc w:val="center"/>
        <w:ind w:right="-951"/>
        <w:spacing w:after="0"/>
        <w:rPr>
          <w:sz w:val="20"/>
          <w:szCs w:val="20"/>
          <w:color w:val="auto"/>
        </w:rPr>
      </w:pPr>
      <w:r>
        <w:rPr>
          <w:rFonts w:ascii="Arial" w:cs="Arial" w:eastAsia="Arial" w:hAnsi="Arial"/>
          <w:sz w:val="18"/>
          <w:szCs w:val="18"/>
          <w:b w:val="1"/>
          <w:bCs w:val="1"/>
          <w:color w:val="auto"/>
        </w:rPr>
        <w:t>Grand Rapids, Michigan 49525-9736</w:t>
      </w:r>
    </w:p>
    <w:p>
      <w:pPr>
        <w:spacing w:after="0" w:line="9" w:lineRule="exact"/>
        <w:rPr>
          <w:sz w:val="24"/>
          <w:szCs w:val="24"/>
          <w:color w:val="auto"/>
        </w:rPr>
      </w:pPr>
    </w:p>
    <w:p>
      <w:pPr>
        <w:jc w:val="center"/>
        <w:ind w:right="-951"/>
        <w:spacing w:after="0"/>
        <w:rPr>
          <w:sz w:val="20"/>
          <w:szCs w:val="20"/>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5352"/>
        <w:spacing w:after="0"/>
        <w:rPr>
          <w:sz w:val="20"/>
          <w:szCs w:val="20"/>
          <w:color w:val="auto"/>
        </w:rPr>
      </w:pPr>
      <w:r>
        <w:rPr>
          <w:rFonts w:ascii="Arial" w:cs="Arial" w:eastAsia="Arial" w:hAnsi="Arial"/>
          <w:sz w:val="14"/>
          <w:szCs w:val="14"/>
          <w:color w:val="auto"/>
        </w:rPr>
        <w:t>Page 1 of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52"/>
          </w:cols>
          <w:pgMar w:left="248" w:top="312" w:right="1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40" w:type="dxa"/>
            <w:vAlign w:val="bottom"/>
            <w:gridSpan w:val="3"/>
          </w:tcPr>
          <w:p>
            <w:pPr>
              <w:jc w:val="center"/>
              <w:ind w:right="2070"/>
              <w:spacing w:after="0"/>
              <w:rPr>
                <w:sz w:val="20"/>
                <w:szCs w:val="20"/>
                <w:color w:val="auto"/>
              </w:rPr>
            </w:pPr>
            <w:r>
              <w:rPr>
                <w:rFonts w:ascii="Arial" w:cs="Arial" w:eastAsia="Arial" w:hAnsi="Arial"/>
                <w:sz w:val="18"/>
                <w:szCs w:val="18"/>
                <w:color w:val="auto"/>
                <w:w w:val="91"/>
              </w:rPr>
              <w:t>Shawnlee Construction LLC 401(k) Plan</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20" w:type="dxa"/>
            <w:vAlign w:val="bottom"/>
            <w:gridSpan w:val="4"/>
          </w:tcPr>
          <w:p>
            <w:pPr>
              <w:jc w:val="center"/>
              <w:ind w:right="1290"/>
              <w:spacing w:after="0"/>
              <w:rPr>
                <w:sz w:val="20"/>
                <w:szCs w:val="20"/>
                <w:color w:val="auto"/>
              </w:rPr>
            </w:pPr>
            <w:r>
              <w:rPr>
                <w:rFonts w:ascii="Arial" w:cs="Arial" w:eastAsia="Arial" w:hAnsi="Arial"/>
                <w:sz w:val="18"/>
                <w:szCs w:val="18"/>
                <w:color w:val="auto"/>
                <w:w w:val="88"/>
              </w:rPr>
              <w:t>Financial Statements and Supplemental Schedule</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20" w:type="dxa"/>
            <w:vAlign w:val="bottom"/>
            <w:gridSpan w:val="4"/>
          </w:tcPr>
          <w:p>
            <w:pPr>
              <w:jc w:val="center"/>
              <w:ind w:right="1270"/>
              <w:spacing w:after="0"/>
              <w:rPr>
                <w:sz w:val="20"/>
                <w:szCs w:val="20"/>
                <w:color w:val="auto"/>
              </w:rPr>
            </w:pPr>
            <w:r>
              <w:rPr>
                <w:rFonts w:ascii="Arial" w:cs="Arial" w:eastAsia="Arial" w:hAnsi="Arial"/>
                <w:sz w:val="18"/>
                <w:szCs w:val="18"/>
                <w:color w:val="auto"/>
                <w:w w:val="88"/>
              </w:rPr>
              <w:t>Years Ended December 31, 2010 and 2009</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Pr>
          <w:p>
            <w:pPr>
              <w:jc w:val="center"/>
              <w:ind w:right="2450"/>
              <w:spacing w:after="0"/>
              <w:rPr>
                <w:sz w:val="20"/>
                <w:szCs w:val="20"/>
                <w:color w:val="auto"/>
              </w:rPr>
            </w:pPr>
            <w:r>
              <w:rPr>
                <w:rFonts w:ascii="Arial" w:cs="Arial" w:eastAsia="Arial" w:hAnsi="Arial"/>
                <w:sz w:val="18"/>
                <w:szCs w:val="18"/>
                <w:b w:val="1"/>
                <w:bCs w:val="1"/>
                <w:color w:val="auto"/>
                <w:w w:val="89"/>
              </w:rPr>
              <w:t>Contents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36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Available for Benefits</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36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6"/>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Schedule H, Line 4i—Schedule of Assets (Held at End of Year)</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4760" w:type="dxa"/>
            <w:vAlign w:val="bottom"/>
            <w:tcBorders>
              <w:top w:val="single" w:sz="8" w:color="CCEEFF"/>
              <w:bottom w:val="single" w:sz="8" w:color="808080"/>
            </w:tcBorders>
          </w:tcPr>
          <w:p>
            <w:pPr>
              <w:spacing w:after="0"/>
              <w:rPr>
                <w:sz w:val="24"/>
                <w:szCs w:val="24"/>
                <w:color w:val="auto"/>
              </w:rPr>
            </w:pPr>
          </w:p>
        </w:tc>
        <w:tc>
          <w:tcPr>
            <w:tcW w:w="2060" w:type="dxa"/>
            <w:vAlign w:val="bottom"/>
            <w:tcBorders>
              <w:top w:val="single" w:sz="8" w:color="CCEEFF"/>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Shawnlee Construction LLC 401(k) Plan (the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related changes in net assets available for benefits for the years then ended, in conformity with accounting principles generally accepted in the United States of America.</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accompanying supplemental schedule of assets (held at end of year)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2011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760" w:type="dxa"/>
            <w:vAlign w:val="bottom"/>
          </w:tcPr>
          <w:p>
            <w:pPr>
              <w:jc w:val="center"/>
              <w:ind w:left="1450"/>
              <w:spacing w:after="0"/>
              <w:rPr>
                <w:sz w:val="20"/>
                <w:szCs w:val="20"/>
                <w:color w:val="auto"/>
              </w:rPr>
            </w:pPr>
            <w:r>
              <w:rPr>
                <w:rFonts w:ascii="Arial" w:cs="Arial" w:eastAsia="Arial" w:hAnsi="Arial"/>
                <w:sz w:val="18"/>
                <w:szCs w:val="18"/>
                <w:color w:val="auto"/>
                <w:w w:val="91"/>
              </w:rPr>
              <w:t>Shawnlee Construction LLC 401(k) Plan</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color w:val="auto"/>
                <w:w w:val="91"/>
              </w:rPr>
              <w:t>Statements of Net Assets Available for Benefits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6,041,478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receivable from participants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355,650</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Employer contribution receivable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9,330</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at fair value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6,406,458</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5,977,812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 responsive investment contracts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(2,924)</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6,403,534</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5,977,812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760" w:type="dxa"/>
            <w:vAlign w:val="bottom"/>
          </w:tcPr>
          <w:p>
            <w:pPr>
              <w:jc w:val="center"/>
              <w:ind w:left="1450"/>
              <w:spacing w:after="0"/>
              <w:rPr>
                <w:sz w:val="20"/>
                <w:szCs w:val="20"/>
                <w:color w:val="auto"/>
              </w:rPr>
            </w:pPr>
            <w:r>
              <w:rPr>
                <w:rFonts w:ascii="Arial" w:cs="Arial" w:eastAsia="Arial" w:hAnsi="Arial"/>
                <w:sz w:val="18"/>
                <w:szCs w:val="18"/>
                <w:color w:val="auto"/>
                <w:w w:val="91"/>
              </w:rPr>
              <w:t>Shawnlee Construction LLC 401(k) Plan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jc w:val="center"/>
              <w:ind w:left="147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1"/>
              </w:rPr>
              <w:t>Years Ended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Additions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and interest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54,245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appreciation in fair value of common stocks</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30,215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appreciation in fair value from common collective trust funds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50,213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appreciation in fair value from mutual funds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347,927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482,600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Participant contributions</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357,110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109,829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Interest from notes receivable from participants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14,825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964,364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participants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(537,054)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(5,993)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(543,047)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421,317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(Note 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4,405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5,977,812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4,498,742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6,403,534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48" w:lineRule="exact"/>
        <w:rPr>
          <w:sz w:val="20"/>
          <w:szCs w:val="20"/>
          <w:color w:val="auto"/>
        </w:rPr>
      </w:pPr>
    </w:p>
    <w:p>
      <w:pPr>
        <w:ind w:right="8380" w:firstLine="8"/>
        <w:spacing w:after="0" w:line="534"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Accounting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Shawnlee Construction LLC (Plan Sponsor) 401(k) Plan (the Plan) are presented on the accrual method of accounting.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January 2010, the Financial Accounting Standards Board issued Accounting Standards Update 2010-06, </w:t>
      </w:r>
      <w:r>
        <w:rPr>
          <w:rFonts w:ascii="Arial" w:cs="Arial" w:eastAsia="Arial" w:hAnsi="Arial"/>
          <w:sz w:val="18"/>
          <w:szCs w:val="18"/>
          <w:i w:val="1"/>
          <w:iCs w:val="1"/>
          <w:color w:val="auto"/>
        </w:rPr>
        <w:t>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This standard requires new disclosures on the amount and reason for transfers in and out of Level 1 and 2 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The standard also requires disclosure of activities, on a gross basis, including purchases, sales, issuances, and settlements, in the reconciliation of Level 3 fair value recurring measurements. The standard clarifies existing disclosure requirements on levels of disaggregation and disclosures about inputs and valuation techniques. The new disclosures regarding Level 1 and 2 fair value measurements and clarification of existing disclosures are effective for periods beginning after December 15, 2009. The disclosures about the reconciliation of information in Level 3 recurring fair value measurements are required for periods beginning after December 15, 2010. The requirements of the standard are not expected to have a significant impact on the Plan’s current fair value disclosures.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2010, the FASB issued ASU 2010-25, </w:t>
      </w:r>
      <w:r>
        <w:rPr>
          <w:rFonts w:ascii="Arial" w:cs="Arial" w:eastAsia="Arial" w:hAnsi="Arial"/>
          <w:sz w:val="18"/>
          <w:szCs w:val="18"/>
          <w:i w:val="1"/>
          <w:iCs w:val="1"/>
          <w:color w:val="auto"/>
        </w:rPr>
        <w:t>Plan Accounting – Defined Contribution Pension Plans (Topic 962): Reporting Loans to Participants by</w:t>
      </w:r>
      <w:r>
        <w:rPr>
          <w:rFonts w:ascii="Arial" w:cs="Arial" w:eastAsia="Arial" w:hAnsi="Arial"/>
          <w:sz w:val="18"/>
          <w:szCs w:val="18"/>
          <w:color w:val="auto"/>
        </w:rPr>
        <w:t xml:space="preserve"> </w:t>
      </w:r>
      <w:r>
        <w:rPr>
          <w:rFonts w:ascii="Arial" w:cs="Arial" w:eastAsia="Arial" w:hAnsi="Arial"/>
          <w:sz w:val="18"/>
          <w:szCs w:val="18"/>
          <w:i w:val="1"/>
          <w:iCs w:val="1"/>
          <w:color w:val="auto"/>
        </w:rPr>
        <w:t>Defined Contribution Pension Plans</w:t>
      </w:r>
      <w:r>
        <w:rPr>
          <w:rFonts w:ascii="Arial" w:cs="Arial" w:eastAsia="Arial" w:hAnsi="Arial"/>
          <w:sz w:val="18"/>
          <w:szCs w:val="18"/>
          <w:color w:val="auto"/>
        </w:rPr>
        <w:t>, which requires participant loans to be segregated from plan investments subject to fair value measurement,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notes receivable and measured at their unpaid principal balance plus accrued interest. The ASU requires retrospective application and applies to reporting periods ending after December 15, 2010. Accordingly, the Plan’s participant loans have been reported as notes receivable in the statements of net assets available for benefits as of December 31, 2010 and 2009, and participant loan interest has been excluded from investment income in the related statements of changes in net assets available for benefits for the years ended December 31, 2010 and 2009. In addition, participant loans are now excluded from the fair value disclosures in Note 4. Adoption of the ASU represents a reclassification within the financial statements and had no impact on net assets available for benefits or changes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2011, the FASB issued ASU 2011-04, </w:t>
      </w:r>
      <w:r>
        <w:rPr>
          <w:rFonts w:ascii="Arial" w:cs="Arial" w:eastAsia="Arial" w:hAnsi="Arial"/>
          <w:sz w:val="18"/>
          <w:szCs w:val="18"/>
          <w:i w:val="1"/>
          <w:iCs w:val="1"/>
          <w:color w:val="auto"/>
        </w:rPr>
        <w:t>Amendments to Achieve Common Fair Value Measurement and Disclosure Requirements in U.S. GAAP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IFRSs </w:t>
      </w:r>
      <w:r>
        <w:rPr>
          <w:rFonts w:ascii="Arial" w:cs="Arial" w:eastAsia="Arial" w:hAnsi="Arial"/>
          <w:sz w:val="18"/>
          <w:szCs w:val="18"/>
          <w:color w:val="auto"/>
        </w:rPr>
        <w:t>(ASU 2011-04). ASU 2011-04 amended ASC 820,</w:t>
      </w:r>
      <w:r>
        <w:rPr>
          <w:rFonts w:ascii="Arial" w:cs="Arial" w:eastAsia="Arial" w:hAnsi="Arial"/>
          <w:sz w:val="18"/>
          <w:szCs w:val="18"/>
          <w:i w:val="1"/>
          <w:iCs w:val="1"/>
          <w:color w:val="auto"/>
        </w:rPr>
        <w:t xml:space="preserve"> Fair Value Measurements and Disclosures, </w:t>
      </w:r>
      <w:r>
        <w:rPr>
          <w:rFonts w:ascii="Arial" w:cs="Arial" w:eastAsia="Arial" w:hAnsi="Arial"/>
          <w:sz w:val="18"/>
          <w:szCs w:val="18"/>
          <w:color w:val="auto"/>
        </w:rPr>
        <w:t>to provide a consistent definition of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comparability of fair value measurements presented and disclosed in financial statements prepared in accordance with U.S. GAAP and IFRSs. Some of the amendments clarify the application of existing fair value measurement and disclosure requirements, while other amendments change a particular principle or requirement for measuring fair value or disclosing information about fair value measurements. The amendments are to be applied prospectively and are effective for annual periods beginning after December 15, 2011. Plan management is currently evaluating the effect that the provisions of ASU 2011-04 will have on the Plan’s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Plan’s investments are stated at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 identical, unrestricted assets or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observable inputs such as quoted prices for similar assets or liabilities in active markets,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inputs other than quoted prices that are observable or can be derived from or corroborated by observable market data by correlation or other means.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valuation methodologies were used to measure the fair value of the Plan’s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quoted market prices in an exchange and active market in which the securities are traded.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Mutual Funds: </w:t>
      </w:r>
      <w:r>
        <w:rPr>
          <w:rFonts w:ascii="Arial" w:cs="Arial" w:eastAsia="Arial" w:hAnsi="Arial"/>
          <w:sz w:val="17"/>
          <w:szCs w:val="17"/>
          <w:color w:val="auto"/>
        </w:rPr>
        <w:t>Valued at quoted market prices in an exchange and active market, which represent the net asset values of shares held by the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Valued based on audited information reported by the issuer of the common collective trust at year-end.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also invests in investment contracts through a common collective trust (Union Bond &amp; Trust Company Stable Value Fund, often referred to as “Morley Stable Value Fund”). Investment contracts held by a defined contribution plan are required to be reported at fair value, with an adjustment to contract value in the statement of net assets available for benefits because contract value of these contracts is the amount participants would receive if they were to initiate permitted transactions under the terms of the Plan. The contract value of the Union Bond &amp; Trust Company Stable Value Fund represents contributions plus earnings, less participant withdrawals and administrative expenses. There is no restriction in place with respect to the daily redemption of the common collective trust at this time.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Pimco Total Return Fund (the Return Fund) is tracked on a unitized basis. The Return Fund consists of the Pimco Total Return Fund and funds held in cash that are sufficient to meet the Fund’s daily needs. Unitization of the Return Fund allows for daily allocation of interest earned to participant accounts. The value of a unit reflects the combined market value of the Pimco Total Return Fund and the cash held. At December 31, 2010, 7,870 units were outstanding with a value of $19.80 per unit, respectively.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expenses incurred in connection with the operations of the Plan are paid by the Plan Sponsor, except for loan and certain investment fees, which are borne by the Plan. Substantially all of these expenses are paid to parties-in-interest of the Plan and are based on reasonable and customary rates for the related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is a defined-contribution, profit sharing and 401(k) plan that provides tax-deferred benefits for substantially all eligible employees of the Plan Sponsor. The Plan is subject to the provisions of the Employee Retirement Security Act of 1974 (ERISA).</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Eligible employees are those who are 18 years or older and have completed six months of employment. All newly eligible employees are automatically enrolled in the Plan at a deferral level of 3% of eligible compensation.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may voluntarily contribute their eligible compensation as a 401(k) contribution subject to certain regulatory limitations. Participant contributions to the Plan vest immediately.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Sponsor contributes a regular discretionary matching contribution. The regular matching contribution is made quarterly and was 25% of participant deferrals in 2010 and 2009, respectively, subject to a limit of 8% of each participant’s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Plan Sponsor may also contribute a discretionary, non-elective contribution annually as determined and approved by management.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Sponsor may make Employer Davis-Bacon Contributions for any participant who is a Non-Highly Compensated Employee and who performed service in Davis-Bacon covered work during the calendar year. Davis-Bacon contributions vest immediately.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participants whose services are covered by the federal, state, or municipal prevailing wage law or Davis-Bacon Act, as amended, may receive employer prevailing wage law contributions. Davis-Bacon Act contributions were $32,271 for the year ended December 31, 2010.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Employer contributions, with the exception of Davis-Bacon contributions, which are immediately 100% vested, are subject to a vesting schedule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Years of Service</w:t>
            </w:r>
          </w:p>
        </w:tc>
        <w:tc>
          <w:tcPr>
            <w:tcW w:w="52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Vesting Percentage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than 2</w:t>
            </w:r>
          </w:p>
        </w:tc>
        <w:tc>
          <w:tcPr>
            <w:tcW w:w="528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 but less than 3</w:t>
            </w:r>
          </w:p>
        </w:tc>
        <w:tc>
          <w:tcPr>
            <w:tcW w:w="5280" w:type="dxa"/>
            <w:vAlign w:val="bottom"/>
          </w:tcPr>
          <w:p>
            <w:pPr>
              <w:jc w:val="right"/>
              <w:ind w:right="21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3 but less than 4</w:t>
            </w:r>
          </w:p>
        </w:tc>
        <w:tc>
          <w:tcPr>
            <w:tcW w:w="528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4 but less than 5</w:t>
            </w:r>
          </w:p>
        </w:tc>
        <w:tc>
          <w:tcPr>
            <w:tcW w:w="5280" w:type="dxa"/>
            <w:vAlign w:val="bottom"/>
          </w:tcPr>
          <w:p>
            <w:pPr>
              <w:jc w:val="right"/>
              <w:ind w:right="21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5 but less than 6</w:t>
            </w:r>
          </w:p>
        </w:tc>
        <w:tc>
          <w:tcPr>
            <w:tcW w:w="528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6 or more</w:t>
            </w:r>
          </w:p>
        </w:tc>
        <w:tc>
          <w:tcPr>
            <w:tcW w:w="5280" w:type="dxa"/>
            <w:vAlign w:val="bottom"/>
          </w:tcPr>
          <w:p>
            <w:pPr>
              <w:jc w:val="right"/>
              <w:ind w:right="2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vested portion of terminated and retired participants’ accounts are available for distribution following a separation from service. Forfeitures may be used to offset the Plan Sponsor’s matching contributions or administrative expenses of the Plan. During 2010 and 2009, forfeitures of approximately $8,000 and $10,800, respectively, were used to offset the Plan Sponsor’s matching contributions..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account balances, as defined in the Plan agreement.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may borrow from their account a minimum amount of $1,000 up to a maximum equal to the lesser of $50,000 or 50% of their vested account balance. Loan terms range from one to five years, or up to 25 years for purchase of a principal residence. The loans bear interest at a rate equal to the prime rate (3.25% at December 31, 2010) plus 1%, and changed to 2% during 2010, calculated on a daily basis. A participant may only have two loans outstanding at any time.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Participant whose initial Date of Employment is on or before December 31, 2009, and who is fully vested in his Discretionary and Matching Contribution Accounts may withdraw all or any part of his Discretionary and Matching Contribution Accounts by making a request to the Plan Administrator at least 30 days before the applicable withdrawal date. No distribution shall be made of an Employer Discretionary or Matching Contribution until two years have elapsed since the contribution to the Trust Fund was made unless the Participant has completed at least five years of Vested Service. The Participant shall specify the particular Account from which a withdrawal is made.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disability, or retirement will be vested at 100% prior to their distribution.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1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permitted by the plan, funds totaling approximately $4,400 and $212,000 were transferred from the Universal Forest Products, Inc. Employees’ Profit Sharing 401(k) Retirement Plan (an affiliated plan) during 2010 and 2009, respectively, due to employee transfers.</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by level within the fair value hierarchy the Plan’s investments as of December 31, 2010 and 2009.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4100" w:type="dxa"/>
            <w:vAlign w:val="bottom"/>
            <w:gridSpan w:val="3"/>
          </w:tcPr>
          <w:p>
            <w:pPr>
              <w:jc w:val="right"/>
              <w:ind w:right="90"/>
              <w:spacing w:after="0"/>
              <w:rPr>
                <w:sz w:val="20"/>
                <w:szCs w:val="20"/>
                <w:color w:val="auto"/>
              </w:rPr>
            </w:pPr>
            <w:r>
              <w:rPr>
                <w:rFonts w:ascii="Arial" w:cs="Arial" w:eastAsia="Arial" w:hAnsi="Arial"/>
                <w:sz w:val="18"/>
                <w:szCs w:val="18"/>
                <w:color w:val="auto"/>
              </w:rPr>
              <w:t>Shawnlee Construction LLC 401(k) Plan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00" w:type="dxa"/>
            <w:vAlign w:val="bottom"/>
            <w:gridSpan w:val="3"/>
          </w:tcPr>
          <w:p>
            <w:pPr>
              <w:jc w:val="right"/>
              <w:ind w:right="50"/>
              <w:spacing w:after="0"/>
              <w:rPr>
                <w:sz w:val="20"/>
                <w:szCs w:val="20"/>
                <w:color w:val="auto"/>
              </w:rPr>
            </w:pPr>
            <w:r>
              <w:rPr>
                <w:rFonts w:ascii="Arial" w:cs="Arial" w:eastAsia="Arial" w:hAnsi="Arial"/>
                <w:sz w:val="18"/>
                <w:szCs w:val="18"/>
                <w:color w:val="auto"/>
              </w:rPr>
              <w:t>Notes to Financial Statements (continued)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00" w:type="dxa"/>
            <w:vAlign w:val="bottom"/>
            <w:gridSpan w:val="4"/>
          </w:tcPr>
          <w:p>
            <w:pPr>
              <w:ind w:left="120"/>
              <w:spacing w:after="0"/>
              <w:rPr>
                <w:sz w:val="20"/>
                <w:szCs w:val="20"/>
                <w:color w:val="auto"/>
              </w:rPr>
            </w:pPr>
            <w:r>
              <w:rPr>
                <w:rFonts w:ascii="Arial" w:cs="Arial" w:eastAsia="Arial" w:hAnsi="Arial"/>
                <w:sz w:val="18"/>
                <w:szCs w:val="18"/>
                <w:b w:val="1"/>
                <w:bCs w:val="1"/>
                <w:color w:val="auto"/>
                <w:w w:val="94"/>
              </w:rPr>
              <w:t>Investment Assets at Fair Value</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as of December 31, 2010</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stocks</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214,533</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214,533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Common collective trust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688,787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688,787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Bond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155,871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155,871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Target funds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701,429</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701,429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Domestic stock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2,351,285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2,351,285</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2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1,929,573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1,929,573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mutual funds</w:t>
            </w: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5,138,158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5,352,691</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688,787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6,041,478</w:t>
            </w:r>
          </w:p>
        </w:tc>
        <w:tc>
          <w:tcPr>
            <w:tcW w:w="80" w:type="dxa"/>
            <w:vAlign w:val="bottom"/>
            <w:shd w:val="clear" w:color="auto" w:fill="CCEEFF"/>
          </w:tcPr>
          <w:p>
            <w:pPr>
              <w:spacing w:after="0"/>
              <w:rPr>
                <w:sz w:val="22"/>
                <w:szCs w:val="22"/>
                <w:color w:val="auto"/>
              </w:rPr>
            </w:pPr>
          </w:p>
        </w:tc>
      </w:tr>
      <w:tr>
        <w:trPr>
          <w:trHeight w:val="434"/>
        </w:trPr>
        <w:tc>
          <w:tcPr>
            <w:tcW w:w="20" w:type="dxa"/>
            <w:vAlign w:val="bottom"/>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4"/>
              </w:rPr>
              <w:t>Investment Assets at Fair Value</w:t>
            </w: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as of December 31, 2009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stocks</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85,572</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Growth funds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3,538,080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3,538,080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Growth and income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976,831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976,831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income funds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210,894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210,894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Balanced funds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442,184</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442,184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Bond funds</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146,934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146,934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Cash equivalent funds</w:t>
            </w:r>
          </w:p>
        </w:tc>
        <w:tc>
          <w:tcPr>
            <w:tcW w:w="2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181,579</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2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5,496,502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5,496,502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 at fair value</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5,582,074</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5,582,074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Individual assets that represent 5% or more of the fair value of the Plan’s assets are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820" w:type="dxa"/>
            <w:vAlign w:val="bottom"/>
            <w:gridSpan w:val="4"/>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5240" w:type="dxa"/>
            <w:vAlign w:val="bottom"/>
            <w:gridSpan w:val="2"/>
          </w:tcPr>
          <w:p>
            <w:pPr>
              <w:jc w:val="center"/>
              <w:ind w:right="1460"/>
              <w:spacing w:after="0"/>
              <w:rPr>
                <w:sz w:val="20"/>
                <w:szCs w:val="20"/>
                <w:color w:val="auto"/>
              </w:rPr>
            </w:pPr>
            <w:r>
              <w:rPr>
                <w:rFonts w:ascii="Arial" w:cs="Arial" w:eastAsia="Arial" w:hAnsi="Arial"/>
                <w:sz w:val="18"/>
                <w:szCs w:val="18"/>
                <w:color w:val="auto"/>
                <w:w w:val="91"/>
              </w:rPr>
              <w:t>Shawnlee Construction LLC 401(k) Plan</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4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Notes to Financial Statements (continued)</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Thornburg International Value Fund</w:t>
            </w:r>
          </w:p>
        </w:tc>
        <w:tc>
          <w:tcPr>
            <w:tcW w:w="5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1,929,573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American Funds Growth Fund of America</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1,377,932</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 Rowe Price Retirement Income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685,965</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Wells Fargo NA Enhanced Stock Market Fund</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535,197</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Invesco Van Kampen Growth and Income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508,643</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Neuberger Berman Genesis Assets Fund</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453,581</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receivable from participants</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355,650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American Funds American Balanced Fund</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Funds Europacific Growth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American Funds Fundamental Investors</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Funds New Economy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American Funds New Perspective Fund</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Funds New World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American Funds Smallcap World Fund</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Funds Washington Mutual Fund</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468,301</w:t>
            </w:r>
          </w:p>
        </w:tc>
        <w:tc>
          <w:tcPr>
            <w:tcW w:w="0" w:type="dxa"/>
            <w:vAlign w:val="bottom"/>
          </w:tcPr>
          <w:p>
            <w:pPr>
              <w:spacing w:after="0"/>
              <w:rPr>
                <w:sz w:val="1"/>
                <w:szCs w:val="1"/>
                <w:color w:val="auto"/>
              </w:rPr>
            </w:pPr>
          </w:p>
        </w:tc>
      </w:tr>
      <w:tr>
        <w:trPr>
          <w:trHeight w:val="459"/>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342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Income Tax Status</w:t>
            </w:r>
          </w:p>
        </w:tc>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Plan was amended and restated effective as of January 1, 2002, on the American Funds Distributors, Inc. Nonstandardized prototype Profit Sharing Plan with CODA. On March 31, 2008, the Internal Revenue Service stated that the prototype adopted by the Plan, as then designed, qualifies under the Internal Revenue Code (IRC) Section 401(a). The amended and restated Plan was signed on April 28, 2010, in compliance with the IRS deadline for amending the Plan to comply with the Economic Growth and Tax Relieve Reconciliation Act of 2001 (EGTRRA). The Plan has not received a determination letter specific to the Plan itself; however, the Plan Administrator believes that the Plan was designed and was being operated in compliance with the applicable requirements of the IRC. Therefore, no provision for income taxes has been included in the Plan’s financial statements. The Plan was subsequently amended and restated as an individually designed plan effective May 10, 2010. The amended and restated Plan is a "post-EGTRRA" document, and the Plan Sponsor will submit the Plan for a determination letter during the post-EGTRRA 5-year determination letter cycle for the Plan, which ends January 31, 2015. The Plan Administrator believes that the Plan is designed and is currently being operated in compliance with applicable requirements of the IRC.</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Shawnlee Construction LLC 401(k)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8100" w:type="dxa"/>
            <w:vAlign w:val="bottom"/>
          </w:tcPr>
          <w:p>
            <w:pPr>
              <w:jc w:val="right"/>
              <w:ind w:right="3399"/>
              <w:spacing w:after="0"/>
              <w:rPr>
                <w:sz w:val="20"/>
                <w:szCs w:val="20"/>
                <w:color w:val="auto"/>
              </w:rPr>
            </w:pPr>
            <w:r>
              <w:rPr>
                <w:rFonts w:ascii="Arial" w:cs="Arial" w:eastAsia="Arial" w:hAnsi="Arial"/>
                <w:sz w:val="18"/>
                <w:szCs w:val="18"/>
                <w:b w:val="1"/>
                <w:bCs w:val="1"/>
                <w:color w:val="auto"/>
                <w:w w:val="95"/>
              </w:rPr>
              <w:t>Difference Between Financial Statements and Form 5500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00" w:type="dxa"/>
            <w:vAlign w:val="bottom"/>
            <w:gridSpan w:val="3"/>
          </w:tcPr>
          <w:p>
            <w:pPr>
              <w:spacing w:after="0"/>
              <w:rPr>
                <w:sz w:val="20"/>
                <w:szCs w:val="20"/>
                <w:color w:val="auto"/>
              </w:rPr>
            </w:pPr>
            <w:r>
              <w:rPr>
                <w:rFonts w:ascii="Arial" w:cs="Arial" w:eastAsia="Arial" w:hAnsi="Arial"/>
                <w:sz w:val="18"/>
                <w:szCs w:val="18"/>
                <w:color w:val="auto"/>
                <w:w w:val="97"/>
              </w:rPr>
              <w:t>The following is a reconciliation of assets available for benefits per the financial statements to the Form 5500: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from the financial statements</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6,403,534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Net adjustment to fair value for fully benefit responsive investment contracts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available for benefits from the Form 5500</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6,406,458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00" w:type="dxa"/>
            <w:vAlign w:val="bottom"/>
            <w:gridSpan w:val="3"/>
          </w:tcPr>
          <w:p>
            <w:pPr>
              <w:spacing w:after="0"/>
              <w:rPr>
                <w:sz w:val="20"/>
                <w:szCs w:val="20"/>
                <w:color w:val="auto"/>
              </w:rPr>
            </w:pPr>
            <w:r>
              <w:rPr>
                <w:rFonts w:ascii="Arial" w:cs="Arial" w:eastAsia="Arial" w:hAnsi="Arial"/>
                <w:sz w:val="18"/>
                <w:szCs w:val="18"/>
                <w:color w:val="auto"/>
                <w:w w:val="96"/>
              </w:rPr>
              <w:t>The following is a reconciliation of the net increase in net assets per the financial statements to the Form 5500: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from the financial statements</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2010 Net adjustment to fair value for fully benefit responsive investment contracts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Increase in net assets from the Form 5500</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424,241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100" w:type="dxa"/>
            <w:vAlign w:val="bottom"/>
            <w:vMerge w:val="restart"/>
          </w:tcPr>
          <w:p>
            <w:pPr>
              <w:jc w:val="right"/>
              <w:ind w:right="2639"/>
              <w:spacing w:after="0"/>
              <w:rPr>
                <w:sz w:val="20"/>
                <w:szCs w:val="20"/>
                <w:color w:val="auto"/>
              </w:rPr>
            </w:pPr>
            <w:r>
              <w:rPr>
                <w:rFonts w:ascii="Arial" w:cs="Arial" w:eastAsia="Arial" w:hAnsi="Arial"/>
                <w:sz w:val="14"/>
                <w:szCs w:val="14"/>
                <w:color w:val="auto"/>
              </w:rPr>
              <w:t>14</w:t>
            </w: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32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1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Shawnlee Construction LLC 401(k) Plan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Schedule H, Line 4i – Schedule of Assets (Held at End of Year)</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EIN #03-0537439  Plan #001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tcPr>
          <w:p>
            <w:pPr>
              <w:spacing w:after="0"/>
              <w:rPr>
                <w:sz w:val="24"/>
                <w:szCs w:val="24"/>
                <w:color w:val="auto"/>
              </w:rPr>
            </w:pPr>
          </w:p>
        </w:tc>
        <w:tc>
          <w:tcPr>
            <w:tcW w:w="4260" w:type="dxa"/>
            <w:vAlign w:val="bottom"/>
          </w:tcPr>
          <w:p>
            <w:pPr>
              <w:jc w:val="center"/>
              <w:ind w:right="70"/>
              <w:spacing w:after="0"/>
              <w:rPr>
                <w:sz w:val="20"/>
                <w:szCs w:val="20"/>
                <w:color w:val="auto"/>
              </w:rPr>
            </w:pPr>
            <w:r>
              <w:rPr>
                <w:rFonts w:ascii="Arial" w:cs="Arial" w:eastAsia="Arial" w:hAnsi="Arial"/>
                <w:sz w:val="18"/>
                <w:szCs w:val="18"/>
                <w:color w:val="auto"/>
                <w:w w:val="99"/>
              </w:rPr>
              <w:t>(b)</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24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(e)</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2"/>
              </w:rPr>
              <w:t>Description of Investment Including, Maturity Date,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Identity of Issuer, Borrower, Lessor, or Similar Party</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3"/>
              </w:rPr>
              <w:t>Rate of Interest, Collateral, Par, or Maturity Value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Value</w:t>
            </w:r>
          </w:p>
        </w:tc>
      </w:tr>
      <w:tr>
        <w:trPr>
          <w:trHeight w:val="432"/>
        </w:trPr>
        <w:tc>
          <w:tcPr>
            <w:tcW w:w="700" w:type="dxa"/>
            <w:vAlign w:val="bottom"/>
          </w:tcPr>
          <w:p>
            <w:pPr>
              <w:spacing w:after="0"/>
              <w:rPr>
                <w:sz w:val="24"/>
                <w:szCs w:val="24"/>
                <w:color w:val="auto"/>
              </w:rPr>
            </w:pPr>
          </w:p>
        </w:tc>
        <w:tc>
          <w:tcPr>
            <w:tcW w:w="46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Common stock:</w:t>
            </w:r>
          </w:p>
        </w:tc>
        <w:tc>
          <w:tcPr>
            <w:tcW w:w="4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Universal Forest Products, Inc.</w:t>
            </w: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Universal Forest Products Common Stock</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214,533</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collective trust funds:</w:t>
            </w:r>
          </w:p>
        </w:tc>
        <w:tc>
          <w:tcPr>
            <w:tcW w:w="48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Union Bond &amp; Trust Company</w:t>
            </w:r>
          </w:p>
        </w:tc>
        <w:tc>
          <w:tcPr>
            <w:tcW w:w="4860" w:type="dxa"/>
            <w:vAlign w:val="bottom"/>
          </w:tcPr>
          <w:p>
            <w:pPr>
              <w:ind w:left="180"/>
              <w:spacing w:after="0"/>
              <w:rPr>
                <w:sz w:val="20"/>
                <w:szCs w:val="20"/>
                <w:color w:val="auto"/>
              </w:rPr>
            </w:pPr>
            <w:r>
              <w:rPr>
                <w:rFonts w:ascii="Arial" w:cs="Arial" w:eastAsia="Arial" w:hAnsi="Arial"/>
                <w:sz w:val="18"/>
                <w:szCs w:val="18"/>
                <w:color w:val="auto"/>
              </w:rPr>
              <w:t>Stable Value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153,590</w:t>
            </w:r>
          </w:p>
        </w:tc>
      </w:tr>
      <w:tr>
        <w:trPr>
          <w:trHeight w:val="223"/>
        </w:trPr>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Wells Fargo NA</w:t>
            </w: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Enhanced Stock Market Fund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688,787</w:t>
            </w:r>
          </w:p>
        </w:tc>
      </w:tr>
      <w:tr>
        <w:trPr>
          <w:trHeight w:val="216"/>
        </w:trPr>
        <w:tc>
          <w:tcPr>
            <w:tcW w:w="7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Mutual funds:</w:t>
            </w:r>
          </w:p>
        </w:tc>
        <w:tc>
          <w:tcPr>
            <w:tcW w:w="48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American Funds</w:t>
            </w:r>
          </w:p>
        </w:tc>
        <w:tc>
          <w:tcPr>
            <w:tcW w:w="4860" w:type="dxa"/>
            <w:vAlign w:val="bottom"/>
          </w:tcPr>
          <w:p>
            <w:pPr>
              <w:ind w:left="180"/>
              <w:spacing w:after="0"/>
              <w:rPr>
                <w:sz w:val="20"/>
                <w:szCs w:val="20"/>
                <w:color w:val="auto"/>
              </w:rPr>
            </w:pPr>
            <w:r>
              <w:rPr>
                <w:rFonts w:ascii="Arial" w:cs="Arial" w:eastAsia="Arial" w:hAnsi="Arial"/>
                <w:sz w:val="18"/>
                <w:szCs w:val="18"/>
                <w:color w:val="auto"/>
              </w:rPr>
              <w:t>Growth Fund of America</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1,377,932</w:t>
            </w:r>
          </w:p>
        </w:tc>
      </w:tr>
      <w:tr>
        <w:trPr>
          <w:trHeight w:val="216"/>
        </w:trPr>
        <w:tc>
          <w:tcPr>
            <w:tcW w:w="7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Dreyfus</w:t>
            </w: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Midcap Index Fund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11,128</w:t>
            </w:r>
          </w:p>
        </w:tc>
      </w:tr>
      <w:tr>
        <w:trPr>
          <w:trHeight w:val="216"/>
        </w:trPr>
        <w:tc>
          <w:tcPr>
            <w:tcW w:w="7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Pimco</w:t>
            </w:r>
          </w:p>
        </w:tc>
        <w:tc>
          <w:tcPr>
            <w:tcW w:w="4860" w:type="dxa"/>
            <w:vAlign w:val="bottom"/>
          </w:tcPr>
          <w:p>
            <w:pPr>
              <w:ind w:left="180"/>
              <w:spacing w:after="0"/>
              <w:rPr>
                <w:sz w:val="20"/>
                <w:szCs w:val="20"/>
                <w:color w:val="auto"/>
              </w:rPr>
            </w:pPr>
            <w:r>
              <w:rPr>
                <w:rFonts w:ascii="Arial" w:cs="Arial" w:eastAsia="Arial" w:hAnsi="Arial"/>
                <w:sz w:val="18"/>
                <w:szCs w:val="18"/>
                <w:color w:val="auto"/>
              </w:rPr>
              <w:t>Total Return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155,872</w:t>
            </w:r>
          </w:p>
        </w:tc>
      </w:tr>
      <w:tr>
        <w:trPr>
          <w:trHeight w:val="216"/>
        </w:trPr>
        <w:tc>
          <w:tcPr>
            <w:tcW w:w="7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Thornburg</w:t>
            </w: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Value Fund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1,929,573</w:t>
            </w:r>
          </w:p>
        </w:tc>
      </w:tr>
      <w:tr>
        <w:trPr>
          <w:trHeight w:val="216"/>
        </w:trPr>
        <w:tc>
          <w:tcPr>
            <w:tcW w:w="7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Neuberger Berman</w:t>
            </w:r>
          </w:p>
        </w:tc>
        <w:tc>
          <w:tcPr>
            <w:tcW w:w="4860" w:type="dxa"/>
            <w:vAlign w:val="bottom"/>
          </w:tcPr>
          <w:p>
            <w:pPr>
              <w:ind w:left="180"/>
              <w:spacing w:after="0"/>
              <w:rPr>
                <w:sz w:val="20"/>
                <w:szCs w:val="20"/>
                <w:color w:val="auto"/>
              </w:rPr>
            </w:pPr>
            <w:r>
              <w:rPr>
                <w:rFonts w:ascii="Arial" w:cs="Arial" w:eastAsia="Arial" w:hAnsi="Arial"/>
                <w:sz w:val="18"/>
                <w:szCs w:val="18"/>
                <w:color w:val="auto"/>
              </w:rPr>
              <w:t>Genesis Assets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453,581</w:t>
            </w:r>
          </w:p>
        </w:tc>
      </w:tr>
      <w:tr>
        <w:trPr>
          <w:trHeight w:val="216"/>
        </w:trPr>
        <w:tc>
          <w:tcPr>
            <w:tcW w:w="7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Invesco Van Kampen</w:t>
            </w: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Growth and Income Fund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508,643</w:t>
            </w:r>
          </w:p>
        </w:tc>
      </w:tr>
      <w:tr>
        <w:trPr>
          <w:trHeight w:val="216"/>
        </w:trPr>
        <w:tc>
          <w:tcPr>
            <w:tcW w:w="70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Arial" w:cs="Arial" w:eastAsia="Arial" w:hAnsi="Arial"/>
                <w:sz w:val="18"/>
                <w:szCs w:val="18"/>
                <w:color w:val="auto"/>
              </w:rPr>
              <w:t>T. Rowe Price</w:t>
            </w:r>
          </w:p>
        </w:tc>
        <w:tc>
          <w:tcPr>
            <w:tcW w:w="4860" w:type="dxa"/>
            <w:vAlign w:val="bottom"/>
          </w:tcPr>
          <w:p>
            <w:pPr>
              <w:ind w:left="180"/>
              <w:spacing w:after="0"/>
              <w:rPr>
                <w:sz w:val="20"/>
                <w:szCs w:val="20"/>
                <w:color w:val="auto"/>
              </w:rPr>
            </w:pPr>
            <w:r>
              <w:rPr>
                <w:rFonts w:ascii="Arial" w:cs="Arial" w:eastAsia="Arial" w:hAnsi="Arial"/>
                <w:sz w:val="18"/>
                <w:szCs w:val="18"/>
                <w:color w:val="auto"/>
              </w:rPr>
              <w:t>Retirement 2050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14,448</w:t>
            </w:r>
          </w:p>
        </w:tc>
      </w:tr>
      <w:tr>
        <w:trPr>
          <w:trHeight w:val="216"/>
        </w:trPr>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Retirement 2040 Fund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Retirement 2030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Retirement 2020 Fund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Retirement 2010 Fund</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Retirement Income Fund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5,138,158</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6,041,478</w:t>
            </w:r>
          </w:p>
        </w:tc>
      </w:tr>
      <w:tr>
        <w:trPr>
          <w:trHeight w:val="202"/>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860" w:type="dxa"/>
            <w:vAlign w:val="bottom"/>
          </w:tcPr>
          <w:p>
            <w:pPr>
              <w:ind w:left="180"/>
              <w:spacing w:after="0" w:line="201" w:lineRule="exact"/>
              <w:rPr>
                <w:sz w:val="20"/>
                <w:szCs w:val="20"/>
                <w:color w:val="auto"/>
              </w:rPr>
            </w:pPr>
            <w:r>
              <w:rPr>
                <w:rFonts w:ascii="Arial" w:cs="Arial" w:eastAsia="Arial" w:hAnsi="Arial"/>
                <w:sz w:val="18"/>
                <w:szCs w:val="18"/>
                <w:color w:val="auto"/>
                <w:w w:val="93"/>
              </w:rPr>
              <w:t>Collateralized by vested account balances, payable in monthly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Notes receivable from participants</w:t>
            </w:r>
          </w:p>
        </w:tc>
        <w:tc>
          <w:tcPr>
            <w:tcW w:w="4860" w:type="dxa"/>
            <w:vAlign w:val="bottom"/>
          </w:tcPr>
          <w:p>
            <w:pPr>
              <w:ind w:left="340"/>
              <w:spacing w:after="0"/>
              <w:rPr>
                <w:sz w:val="20"/>
                <w:szCs w:val="20"/>
                <w:color w:val="auto"/>
              </w:rPr>
            </w:pPr>
            <w:r>
              <w:rPr>
                <w:rFonts w:ascii="Arial" w:cs="Arial" w:eastAsia="Arial" w:hAnsi="Arial"/>
                <w:sz w:val="18"/>
                <w:szCs w:val="18"/>
                <w:color w:val="auto"/>
                <w:w w:val="93"/>
              </w:rPr>
              <w:t>installments with interest rates ranging from 5.25% to 11.5%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355,650</w:t>
            </w:r>
          </w:p>
        </w:tc>
        <w:tc>
          <w:tcPr>
            <w:tcW w:w="100" w:type="dxa"/>
            <w:vAlign w:val="bottom"/>
          </w:tcPr>
          <w:p>
            <w:pPr>
              <w:spacing w:after="0"/>
              <w:rPr>
                <w:sz w:val="20"/>
                <w:szCs w:val="20"/>
                <w:color w:val="auto"/>
              </w:rPr>
            </w:pPr>
          </w:p>
        </w:tc>
      </w:tr>
      <w:tr>
        <w:trPr>
          <w:trHeight w:val="237"/>
        </w:trPr>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8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6,397,128</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ind w:left="820" w:hanging="513"/>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 party-in-interest to the Plan.</w:t>
      </w:r>
    </w:p>
    <w:p>
      <w:pPr>
        <w:spacing w:after="0" w:line="21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Note: Column (d), cost, is not applicable, as all investments are participant-directed.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Shawnlee Construction LLC, as Plan Administrator, has duly caused this annual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Shawnlee Construction LLC 401(k) Plan</w:t>
      </w:r>
    </w:p>
    <w:p>
      <w:pPr>
        <w:spacing w:after="0" w:line="229" w:lineRule="exact"/>
        <w:rPr>
          <w:sz w:val="20"/>
          <w:szCs w:val="20"/>
          <w:color w:val="auto"/>
        </w:rPr>
      </w:pPr>
    </w:p>
    <w:p>
      <w:pPr>
        <w:spacing w:after="0"/>
        <w:tabs>
          <w:tab w:leader="none" w:pos="620" w:val="left"/>
          <w:tab w:leader="none" w:pos="5700" w:val="left"/>
        </w:tabs>
        <w:rPr>
          <w:sz w:val="20"/>
          <w:szCs w:val="20"/>
          <w:color w:val="auto"/>
        </w:rPr>
      </w:pPr>
      <w:r>
        <w:rPr>
          <w:rFonts w:ascii="Arial" w:cs="Arial" w:eastAsia="Arial" w:hAnsi="Arial"/>
          <w:sz w:val="18"/>
          <w:szCs w:val="18"/>
          <w:color w:val="auto"/>
        </w:rPr>
        <w:t>Date:</w:t>
        <w:tab/>
        <w:t>June 27, 2011</w:t>
      </w:r>
      <w:r>
        <w:rPr>
          <w:sz w:val="20"/>
          <w:szCs w:val="20"/>
          <w:color w:val="auto"/>
        </w:rPr>
        <w:tab/>
      </w:r>
      <w:r>
        <w:rPr>
          <w:rFonts w:ascii="Arial" w:cs="Arial" w:eastAsia="Arial" w:hAnsi="Arial"/>
          <w:sz w:val="16"/>
          <w:szCs w:val="16"/>
          <w:color w:val="auto"/>
        </w:rPr>
        <w:t>/s/ Gerald Simmer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5176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Simmer,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Shawnlee Construction LLC, Plan Administrator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34"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0"/>
          <w:szCs w:val="20"/>
          <w:color w:val="auto"/>
        </w:rPr>
      </w:pPr>
    </w:p>
    <w:p>
      <w:pPr>
        <w:ind w:left="1300" w:hanging="1292"/>
        <w:spacing w:after="0"/>
        <w:tabs>
          <w:tab w:leader="none" w:pos="130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Consent of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Shawnlee Construction LLC 401(k)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Plainville, Massachusetts</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(333-156596) of our report dated June 27, 2011 relating to the financial statements and supplemental schedule of Shawnlee Construction, LLC 401(k) Plan which appear in this Form 11-K.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2019-12-10T12:56:16Z</dcterms:created>
  <dcterms:modified xsi:type="dcterms:W3CDTF">2019-12-10T12:56:16Z</dcterms:modified>
</cp:coreProperties>
</file>