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-228600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-666750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2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4003675</wp:posOffset>
            </wp:positionH>
            <wp:positionV relativeFrom="paragraph">
              <wp:posOffset>-632460</wp:posOffset>
            </wp:positionV>
            <wp:extent cx="58420" cy="645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752475</wp:posOffset>
            </wp:positionV>
            <wp:extent cx="6992620" cy="46920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4692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20"/>
            <w:col w:w="854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COLE MICHAEL R</w:t>
        </w:r>
      </w:hyperlink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2801 EAST BELTLINE, N.E.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UFP INDUSTRIES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UFPI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6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04/30/2026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4" w:right="600" w:firstLine="4"/>
        <w:spacing w:after="0" w:line="261" w:lineRule="auto"/>
        <w:tabs>
          <w:tab w:leader="none" w:pos="14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16"/>
        <w:spacing w:after="0"/>
        <w:tabs>
          <w:tab w:leader="none" w:pos="205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516"/>
        <w:spacing w:after="0"/>
        <w:tabs>
          <w:tab w:leader="none" w:pos="205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9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</w:t>
      </w:r>
    </w:p>
    <w:p>
      <w:pPr>
        <w:spacing w:after="0" w:line="33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4" w:space="720"/>
            <w:col w:w="3336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11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GRAND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MI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49525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RAPIDS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780" w:type="dxa"/>
            <w:vAlign w:val="bottom"/>
            <w:gridSpan w:val="2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04/30/2026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16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89.49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32,414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-2022475</wp:posOffset>
            </wp:positionV>
            <wp:extent cx="29210" cy="20275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27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 for 1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700" w:firstLine="3"/>
        <w:spacing w:after="0" w:line="260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phantom stock units were accrued under the Company's Deferred Compensation Plan and are payable in shares of the Company's common stock until the reporting person's death, disability or retirement.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Katherine L. Karel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05/01/2026</w:t>
            </w:r>
          </w:p>
        </w:tc>
      </w:tr>
      <w:tr>
        <w:trPr>
          <w:trHeight w:val="20"/>
        </w:trPr>
        <w:tc>
          <w:tcPr>
            <w:tcW w:w="1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8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186276" TargetMode="External"/><Relationship Id="rId14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2026-05-01T14:48:21Z</dcterms:created>
  <dcterms:modified xsi:type="dcterms:W3CDTF">2026-05-01T14:48:21Z</dcterms:modified>
</cp:coreProperties>
</file>