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27, 2025</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7"/>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Outstanding as of September 27, 2025</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58,257,224</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27, 2025, December 28, 2024 and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28, 2024</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27, 2025 and September 28,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Nine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September 27, 2025 and September 28,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27, 2025 and September 28,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2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1,008,632</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420" w:type="dxa"/>
            <w:vAlign w:val="bottom"/>
            <w:gridSpan w:val="2"/>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607,537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650,869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354,021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388,435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337,180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313,397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332,389</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308,249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667,418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720,824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645,429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56,708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50,012</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45,841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2,387,084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2,503,025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2,613,525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48,488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114,721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342,145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1,900,849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1,750,211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1,684,177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(924,952)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(859,468)</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(841,095)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975,897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890,743</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843,082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4,135,551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4,217,885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231,905</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224,659</w:t>
            </w:r>
          </w:p>
        </w:tc>
        <w:tc>
          <w:tcPr>
            <w:tcW w:w="420" w:type="dxa"/>
            <w:vAlign w:val="bottom"/>
            <w:gridSpan w:val="2"/>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193,438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532,214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512,448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606,031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29,687</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32,330</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927,278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900,947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1,018,539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44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5,018</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42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44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44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58,257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60,725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58,257,224, 60,724,308 and 60,724,664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434,441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403,379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389,814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2,689,507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2,775,280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2,728,281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(15,311)</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3,180,445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3,224,072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3,174,434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22,810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20,553</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3,203,255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3,244,625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3,193,819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4,135,551</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4,150,938</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4,217,885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1100" w:type="dxa"/>
            <w:vAlign w:val="bottom"/>
            <w:tcBorders>
              <w:top w:val="single" w:sz="8" w:color="auto"/>
            </w:tcBorders>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1,559,627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4,990,520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5,190,308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1,296,946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4,146,909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4,203,075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(GAIN) ON DISPOSITION AND IMPAIRMENT OF</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LOSSES (GAINS),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304,814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412,783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IN (EARNINGS) LOSS OF INVESTEE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99,134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331,760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449,136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75,542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101,619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255,836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348,950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EARNINGS ATTRIBUTABLE TO CONTROLLING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75,346</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99,800</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254,833</w:t>
            </w:r>
          </w:p>
        </w:tc>
        <w:tc>
          <w:tcPr>
            <w:tcW w:w="18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346,521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271,262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340,632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ATTRIBUTABLE TO</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COMPREHENSIVE INCOME ATTRIBUTABLE TO</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75,562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101,379</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268,384</w:t>
            </w:r>
          </w:p>
        </w:tc>
        <w:tc>
          <w:tcPr>
            <w:tcW w:w="18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341,029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2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019"/>
          </w:cols>
          <w:pgMar w:left="1440" w:top="540" w:right="1440" w:bottom="1440" w:gutter="0" w:footer="0" w:header="0"/>
        </w:sectPr>
      </w:pPr>
    </w:p>
    <w:p>
      <w:pPr>
        <w:spacing w:after="0" w:line="227" w:lineRule="exact"/>
        <w:rPr>
          <w:sz w:val="20"/>
          <w:szCs w:val="20"/>
          <w:color w:val="auto"/>
        </w:rPr>
      </w:pPr>
    </w:p>
    <w:p>
      <w:pPr>
        <w:ind w:left="60"/>
        <w:spacing w:after="0" w:line="285" w:lineRule="auto"/>
        <w:rPr>
          <w:sz w:val="20"/>
          <w:szCs w:val="20"/>
          <w:color w:val="auto"/>
        </w:rPr>
      </w:pPr>
      <w:r>
        <w:rPr>
          <w:rFonts w:ascii="Times New Roman" w:cs="Times New Roman" w:eastAsia="Times New Roman" w:hAnsi="Times New Roman"/>
          <w:sz w:val="14"/>
          <w:szCs w:val="14"/>
          <w:b w:val="1"/>
          <w:bCs w:val="1"/>
          <w:color w:val="auto"/>
        </w:rPr>
        <w:t>(in thousands of United States dollars, except share and per share data)</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68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68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380" w:space="540"/>
            <w:col w:w="609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$ 60,724</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$ 403,379</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$ 2,775,280</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(15,311)</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20,553</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$ 3,244,625</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7,197 shares under employee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232,101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80,341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649,060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7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March 29, 2025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60,395</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$ 416,562</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$ 2,772,821</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(12,097)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21,375</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$ 3,259,056</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5,280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101,110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11,854</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7,593 shares under employee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26,949 shares under stock grant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10,998 shares under deferred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1,874,279 shares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(191,393)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28, 2025</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58,566</w:t>
            </w:r>
          </w:p>
        </w:tc>
        <w:tc>
          <w:tcPr>
            <w:tcW w:w="8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$ 425,398</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$ 2,663,394</w:t>
            </w:r>
          </w:p>
        </w:tc>
        <w:tc>
          <w:tcPr>
            <w:tcW w:w="8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(1,976)</w:t>
            </w:r>
          </w:p>
        </w:tc>
        <w:tc>
          <w:tcPr>
            <w:tcW w:w="8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23,081</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$ 3,168,463</w:t>
            </w:r>
          </w:p>
        </w:tc>
        <w:tc>
          <w:tcPr>
            <w:tcW w:w="4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5,253</w:t>
            </w: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75,346</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75,599</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Redeemable NCI</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7,299 shares under employee stock</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30,601 shares under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10,940 shares under deferred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296,562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September 27, 2025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58,257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$ 434,441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$ 2,689,507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$ 3,203,255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5,018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210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 (Unaudited)</w:t>
      </w:r>
    </w:p>
    <w:p>
      <w:pPr>
        <w:sectPr>
          <w:pgSz w:w="11900" w:h="16838" w:orient="portrait"/>
          <w:cols w:equalWidth="0" w:num="1">
            <w:col w:w="9019"/>
          </w:cols>
          <w:pgMar w:left="1440" w:top="540" w:right="1440" w:bottom="1440" w:gutter="0" w:footer="0" w:header="0"/>
        </w:sectPr>
      </w:pPr>
    </w:p>
    <w:p>
      <w:pPr>
        <w:spacing w:after="0" w:line="179" w:lineRule="exact"/>
        <w:rPr>
          <w:sz w:val="20"/>
          <w:szCs w:val="20"/>
          <w:color w:val="auto"/>
        </w:rPr>
      </w:pPr>
    </w:p>
    <w:p>
      <w:pPr>
        <w:ind w:left="60"/>
        <w:spacing w:after="0" w:line="285" w:lineRule="auto"/>
        <w:rPr>
          <w:sz w:val="20"/>
          <w:szCs w:val="20"/>
          <w:color w:val="auto"/>
        </w:rPr>
      </w:pPr>
      <w:r>
        <w:rPr>
          <w:rFonts w:ascii="Times New Roman" w:cs="Times New Roman" w:eastAsia="Times New Roman" w:hAnsi="Times New Roman"/>
          <w:sz w:val="14"/>
          <w:szCs w:val="14"/>
          <w:b w:val="1"/>
          <w:bCs w:val="1"/>
          <w:color w:val="auto"/>
        </w:rPr>
        <w:t>(in thousands of United States dollars, except share and per share data)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68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spacing w:after="0"/>
              <w:rPr>
                <w:sz w:val="10"/>
                <w:szCs w:val="10"/>
                <w:color w:val="auto"/>
              </w:rPr>
            </w:pPr>
          </w:p>
        </w:tc>
        <w:tc>
          <w:tcPr>
            <w:tcW w:w="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680" w:type="dxa"/>
            <w:vAlign w:val="bottom"/>
            <w:vMerge w:val="continue"/>
          </w:tcPr>
          <w:p>
            <w:pPr>
              <w:spacing w:after="0"/>
              <w:rPr>
                <w:sz w:val="15"/>
                <w:szCs w:val="15"/>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380" w:space="500"/>
            <w:col w:w="613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$ 354,702</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$ 2,582,332</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61,754</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$ 362,231</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$ 2,664,081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28,336</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125,930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126,582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8,573 shares under employee 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29,460 shares under stock grant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9,841 shares under deferred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883,232 shares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29, 2024</w:t>
            </w: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60,919</w:t>
            </w:r>
          </w:p>
        </w:tc>
        <w:tc>
          <w:tcPr>
            <w:tcW w:w="80" w:type="dxa"/>
            <w:vAlign w:val="bottom"/>
            <w:tcBorders>
              <w:top w:val="single" w:sz="8" w:color="CCEEFF"/>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$ 371,771</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$ 2,670,086</w:t>
            </w:r>
          </w:p>
        </w:tc>
        <w:tc>
          <w:tcPr>
            <w:tcW w:w="8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(5,965)</w:t>
            </w:r>
          </w:p>
        </w:tc>
        <w:tc>
          <w:tcPr>
            <w:tcW w:w="8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20,699</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$ 3,117,510</w:t>
            </w:r>
          </w:p>
        </w:tc>
        <w:tc>
          <w:tcPr>
            <w:tcW w:w="8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18,931</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99,800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102,170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(13,302)</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5,843 shares under employee 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10,964 shares under stock</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8,661 shares under deferred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197,417 shares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September 28, 2024</w:t>
            </w: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60,725</w:t>
            </w: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$ 389,814</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$ 2,728,281</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(4,386)</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2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19,385</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$ 3,193,819</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5,527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6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255,836</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348,950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on sale, disposition and impairment of assets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 and other intangibles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81,238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4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32,988</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8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399,122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497,662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8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(217,211)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(177,488)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(62,490)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(60,721)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(280,987)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(141,122)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(5,179)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1,011,694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1,191,568</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4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1,008,632</w:t>
            </w:r>
          </w:p>
        </w:tc>
        <w:tc>
          <w:tcPr>
            <w:tcW w:w="200" w:type="dxa"/>
            <w:vAlign w:val="bottom"/>
            <w:vMerge w:val="continue"/>
          </w:tcPr>
          <w:p>
            <w:pPr>
              <w:spacing w:after="0"/>
              <w:rPr>
                <w:sz w:val="11"/>
                <w:szCs w:val="11"/>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1,190,807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4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1,011,694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1,191,568</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8,501</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112,271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10,973</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Presentation Currency</w:t>
      </w:r>
    </w:p>
    <w:p>
      <w:pPr>
        <w:spacing w:after="0" w:line="227"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are presented in United States dollars (“US dollars” or “USD”), unless otherwise indicated.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71" w:lineRule="auto"/>
        <w:rPr>
          <w:sz w:val="20"/>
          <w:szCs w:val="20"/>
          <w:color w:val="auto"/>
        </w:rPr>
      </w:pPr>
      <w:r>
        <w:rPr>
          <w:rFonts w:ascii="Times New Roman" w:cs="Times New Roman" w:eastAsia="Times New Roman" w:hAnsi="Times New Roman"/>
          <w:sz w:val="17"/>
          <w:szCs w:val="17"/>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The Sellers have a put right to sell their equity interest to us for $50 million and we have a call right to purchase the Seller’s equity interest for $70 million, which were both first exercisable in June 2025 and expire in June 2030. As of September 27, 2025, both the put and call rights remain unexercised and the carrying value of our investment in Dempsey is $53.4 million which is recorded in Other Assets on our condensed consolidated balance sheets. Our maximum exposure to loss consists of our investment amount and any contingent loss that may occur in the future as a result of a change in the fair value of Dempsey relative to the strike price of the put option.</w:t>
      </w:r>
    </w:p>
    <w:p>
      <w:pPr>
        <w:spacing w:after="0" w:line="17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2024.</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28, 2024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Held for Sale</w:t>
      </w:r>
    </w:p>
    <w:p>
      <w:pPr>
        <w:spacing w:after="0" w:line="22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During the third quarter of 2025, we determined several real estate properties and machinery and equipment within our Retail and Corporate segments met the criteria as held for sale, and therefore we have classified the related assets as held for sale on the condensed consolidated balance sheet. The fair value measurements for the assets held for sale are generally based on Level 3 inputs, which include information obtained from third-party appraisals. The assets had a carrying value of $7.2 million as of September 27, 2025, with $3.3 million of impairment charges recorded in fiscal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 - Goodwill and Other - Internal-Use Software (Subtopic 350-40): Targeted Improvements to the Accounting for Internal-Use Software.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amendments in this ASU are effective for fiscal years beginning after December 15, 2027, and interim reporting periods within those annual reporting periods, using a prospective, retrospective or modified transition approach, with early adoption permitted. We are currently evaluating the impact of adopting this guidance on the consolidated financial statements and related disclosures.</w:t>
      </w:r>
    </w:p>
    <w:p>
      <w:pPr>
        <w:spacing w:after="0" w:line="192"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188"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We adopted this new standard in 2024. Our disclosures required by the new standard have been provided and updated retrospectively for all periods presented. Refer to Note G — Segment Reporting.</w:t>
      </w:r>
    </w:p>
    <w:p>
      <w:pPr>
        <w:spacing w:after="0" w:line="188"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4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$ 268,544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$ 296,058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$ 356,700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$ 377,850</w:t>
            </w:r>
          </w:p>
        </w:tc>
        <w:tc>
          <w:tcPr>
            <w:tcW w:w="0" w:type="dxa"/>
            <w:vAlign w:val="bottom"/>
          </w:tcPr>
          <w:p>
            <w:pPr>
              <w:spacing w:after="0"/>
              <w:rPr>
                <w:sz w:val="1"/>
                <w:szCs w:val="1"/>
                <w:color w:val="auto"/>
              </w:rPr>
            </w:pPr>
          </w:p>
        </w:tc>
      </w:tr>
      <w:tr>
        <w:trPr>
          <w:trHeight w:val="181"/>
        </w:trPr>
        <w:tc>
          <w:tcPr>
            <w:tcW w:w="14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0" w:type="dxa"/>
            <w:vAlign w:val="bottom"/>
          </w:tcPr>
          <w:p>
            <w:pPr>
              <w:spacing w:after="0"/>
              <w:rPr>
                <w:sz w:val="1"/>
                <w:szCs w:val="1"/>
                <w:color w:val="auto"/>
              </w:rPr>
            </w:pPr>
          </w:p>
        </w:tc>
      </w:tr>
      <w:tr>
        <w:trPr>
          <w:trHeight w:val="182"/>
        </w:trPr>
        <w:tc>
          <w:tcPr>
            <w:tcW w:w="14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48,488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42,431</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0" w:type="dxa"/>
            <w:vAlign w:val="bottom"/>
          </w:tcPr>
          <w:p>
            <w:pPr>
              <w:spacing w:after="0"/>
              <w:rPr>
                <w:sz w:val="1"/>
                <w:szCs w:val="1"/>
                <w:color w:val="auto"/>
              </w:rPr>
            </w:pPr>
          </w:p>
        </w:tc>
      </w:tr>
      <w:tr>
        <w:trPr>
          <w:trHeight w:val="181"/>
        </w:trPr>
        <w:tc>
          <w:tcPr>
            <w:tcW w:w="144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1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31"/>
        </w:trPr>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11,897</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0" w:type="dxa"/>
            <w:vAlign w:val="bottom"/>
          </w:tcPr>
          <w:p>
            <w:pPr>
              <w:spacing w:after="0"/>
              <w:rPr>
                <w:sz w:val="1"/>
                <w:szCs w:val="1"/>
                <w:color w:val="auto"/>
              </w:rPr>
            </w:pPr>
          </w:p>
        </w:tc>
      </w:tr>
      <w:tr>
        <w:trPr>
          <w:trHeight w:val="218"/>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$ 304,117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$ 407,092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$ 389,415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$ 473,685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September 27, 2025, listed in the table above, $294.1 million of money market funds are held in Cash and Cash Equivalents, $33.8 million of mutual funds, equity securities, and alternative investments are held in Investments, $30.5 million of equity securities are held in Other Assets, $0.2 million of mutual funds are held in Other Assets for our deferred compensation plan, and $46.5 million of fixed income funds and $2.0 million of money market funds are held in Restricted Investments. As of December 28, 2024, $377.4 million of money market funds were held in Cash and Cash Equivalents, $31.0 million of mutual funds, equity securities, and alternative investments were held in Investments, $26.0 million of equity securities were held in Other Assets, $0.2 million of mutual funds were held in Other Assets for our deferred compensation plan, and $38.7 million of fixed income funds and $0.4 million of money market funds were held in Restricted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We have $30.5 million of investments through our Innov8 Fund, which is designed to invest in emerging projects, services, and technologies. These investments are valued as Level 3 assets and are categorized as “Equity securities.”</w:t>
      </w:r>
    </w:p>
    <w:p>
      <w:pPr>
        <w:spacing w:after="0" w:line="162" w:lineRule="exact"/>
        <w:rPr>
          <w:sz w:val="20"/>
          <w:szCs w:val="20"/>
          <w:color w:val="auto"/>
        </w:rPr>
      </w:pPr>
    </w:p>
    <w:p>
      <w:pPr>
        <w:jc w:val="both"/>
        <w:ind w:left="60" w:right="80"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$80.5 million and $69.8 million as of September 27, 2025 and December 28, 2024,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10"/>
                <w:szCs w:val="10"/>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$ 46,320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$ 46,202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$ 39,645</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$ 38,348</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$ 72,349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8,125</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$ 80,474</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$ 65,020</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4,760</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$ 69,780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$8.1 million and $4.8 million as of September 27, 2025 and December 28, 2024, respectively. Carrying amounts above are recorded in the Investments and Restricted Investments line items within the balance sheet as of September 27, 2025 and December 28, 2024.</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Borders>
              <w:bottom w:val="single" w:sz="8" w:color="auto"/>
            </w:tcBorders>
          </w:tcPr>
          <w:p>
            <w:pPr>
              <w:spacing w:after="0"/>
              <w:rPr>
                <w:sz w:val="15"/>
                <w:szCs w:val="15"/>
                <w:color w:val="auto"/>
              </w:rPr>
            </w:pPr>
          </w:p>
        </w:tc>
      </w:tr>
      <w:tr>
        <w:trPr>
          <w:trHeight w:val="220"/>
        </w:trPr>
        <w:tc>
          <w:tcPr>
            <w:tcW w:w="258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880" w:type="dxa"/>
            <w:vAlign w:val="bottom"/>
          </w:tcPr>
          <w:p>
            <w:pPr>
              <w:spacing w:after="0"/>
              <w:rPr>
                <w:sz w:val="19"/>
                <w:szCs w:val="19"/>
                <w:color w:val="auto"/>
              </w:rPr>
            </w:pPr>
          </w:p>
        </w:tc>
      </w:tr>
      <w:tr>
        <w:trPr>
          <w:trHeight w:val="193"/>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1,528,506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5,069,509</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41,972</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120,799</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20" w:type="dxa"/>
            <w:vAlign w:val="bottom"/>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0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4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40" w:type="dxa"/>
            <w:vAlign w:val="bottom"/>
            <w:tcBorders>
              <w:top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75,346</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254,833</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95,975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245,312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333,032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56,228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58,413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56,350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58,547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58,980</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September 27, 2025,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September 27, 2025, we had outstanding purchase commitments on commenced capital projects of approximately $109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27, 2025, we had approximately $24.9 million in outstanding payment and performance bonds for open projects. We had approximately $11.2 million in payment and performance bonds outstanding for completed projects which are still under warranty.</w:t>
      </w:r>
    </w:p>
    <w:p>
      <w:pPr>
        <w:spacing w:after="0" w:line="18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September 27, 2025, we had outstanding letters of credit totaling $40.4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September 27, 2025, we have irrevocable letters of credit outstanding totaling approximately $37.1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third quarter of 2025 which would require us to recognize a liability on our balance sheet.</w:t>
      </w:r>
    </w:p>
    <w:p>
      <w:pPr>
        <w:spacing w:after="0" w:line="158" w:lineRule="exact"/>
        <w:rPr>
          <w:sz w:val="20"/>
          <w:szCs w:val="20"/>
          <w:color w:val="auto"/>
        </w:rPr>
      </w:pPr>
    </w:p>
    <w:p>
      <w:pPr>
        <w:ind w:left="500" w:hanging="450"/>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since the end of September 2024,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$6,531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July 14, 2025</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National Supply, LLC (NS)</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206"/>
        </w:trPr>
        <w:tc>
          <w:tcPr>
            <w:tcW w:w="2560" w:type="dxa"/>
            <w:vAlign w:val="bottom"/>
            <w:tcBorders>
              <w:left w:val="single" w:sz="8" w:color="auto"/>
              <w:bottom w:val="single" w:sz="8" w:color="auto"/>
              <w:right w:val="single" w:sz="8" w:color="auto"/>
            </w:tcBorders>
            <w:shd w:val="clear" w:color="auto" w:fill="CCEBFF"/>
          </w:tcPr>
          <w:p>
            <w:pPr>
              <w:spacing w:after="0"/>
              <w:rPr>
                <w:sz w:val="17"/>
                <w:szCs w:val="17"/>
                <w:color w:val="auto"/>
              </w:rPr>
            </w:pPr>
          </w:p>
        </w:tc>
        <w:tc>
          <w:tcPr>
            <w:tcW w:w="45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Elkhart, IN, NS is a material supplier in the RV industry.</w:t>
            </w:r>
          </w:p>
        </w:tc>
        <w:tc>
          <w:tcPr>
            <w:tcW w:w="980" w:type="dxa"/>
            <w:vAlign w:val="bottom"/>
            <w:tcBorders>
              <w:bottom w:val="single" w:sz="8" w:color="auto"/>
              <w:right w:val="single" w:sz="8" w:color="CCEBFF"/>
            </w:tcBorders>
            <w:shd w:val="clear" w:color="auto" w:fill="CCEBFF"/>
          </w:tcPr>
          <w:p>
            <w:pPr>
              <w:spacing w:after="0"/>
              <w:rPr>
                <w:sz w:val="17"/>
                <w:szCs w:val="17"/>
                <w:color w:val="auto"/>
              </w:rPr>
            </w:pPr>
          </w:p>
        </w:tc>
        <w:tc>
          <w:tcPr>
            <w:tcW w:w="860" w:type="dxa"/>
            <w:vAlign w:val="bottom"/>
            <w:tcBorders>
              <w:bottom w:val="single" w:sz="8" w:color="auto"/>
              <w:right w:val="single" w:sz="8" w:color="auto"/>
            </w:tcBorders>
            <w:shd w:val="clear" w:color="auto" w:fill="CCEBFF"/>
          </w:tcPr>
          <w:p>
            <w:pPr>
              <w:spacing w:after="0"/>
              <w:rPr>
                <w:sz w:val="17"/>
                <w:szCs w:val="17"/>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RWP West, LLC (RWP)</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5"/>
        </w:trPr>
        <w:tc>
          <w:tcPr>
            <w:tcW w:w="2560" w:type="dxa"/>
            <w:vAlign w:val="bottom"/>
            <w:tcBorders>
              <w:left w:val="single" w:sz="8" w:color="auto"/>
              <w:right w:val="single" w:sz="8" w:color="auto"/>
            </w:tcBorders>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Located in Twin Falls, ID and established in 2007, RWP serves the western portion of the US and</w:t>
            </w: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is a manufacturer and distributor for the manufactured housing, RV, and cargo markets.</w:t>
            </w: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$29,901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23, 2024</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12,662</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r>
      <w:tr>
        <w:trPr>
          <w:trHeight w:val="213"/>
        </w:trPr>
        <w:tc>
          <w:tcPr>
            <w:tcW w:w="256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C&amp;L Wood Products (C&amp;L)</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185"/>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Hartselle, AL and founded in 1975, C&amp;L is a manufacturer of machine-built pallets,</w:t>
            </w: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mulch, and other wood products.</w:t>
            </w: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September 27, 2025, the fair value determination of the intangible assets for the above business combinations has not been finalized. Therefore, changes in facts and circumstances may result in adjustments to the initial fair value estimates during the measurement period, which may not exceed one year from the acquisition date.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combinations mentioned above contributed approximately $23.8 million to net sales and a $1.2 million operating loss during the first nine months of 2025. They are not significant to our operating results and thus proforma results for 2025 and 2024 are not presented.</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pacing w:after="0" w:line="194"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United Arab Emirates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Transportation, Inc., which owns, leases and operates transportation equipment, UFP Purchasing, Inc. and over (under) allocated costs. The operating results of UFP Real Estate, Inc., which owns and leases real estate,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tables below are presented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780" w:type="dxa"/>
            <w:vAlign w:val="bottom"/>
            <w:tcBorders>
              <w:top w:val="single" w:sz="8" w:color="auto"/>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593,985</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$ 496,465</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(189,546)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513,763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(8,858)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(9,296)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investee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881,513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1"/>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gridSpan w:val="11"/>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635,571</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401,626</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$ 534,625</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(170,383)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542,516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111,658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 disposition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(13,927)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843,299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40" w:type="dxa"/>
            <w:vAlign w:val="bottom"/>
            <w:tcBorders>
              <w:top w:val="single" w:sz="8" w:color="auto"/>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2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1,989,592</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1,233,626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1,563,995</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(621,997)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1,714,335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282,192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(28,388)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40" w:type="dxa"/>
            <w:vAlign w:val="bottom"/>
            <w:tcBorders>
              <w:top w:val="single" w:sz="8" w:color="auto"/>
              <w:bottom w:val="single" w:sz="8" w:color="auto"/>
            </w:tcBorders>
            <w:gridSpan w:val="11"/>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2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2,073,403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1,627,068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(537,176)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1,752,464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1,275,520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4,203,075</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240,371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351,548</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578,555</w:t>
            </w:r>
          </w:p>
        </w:tc>
        <w:tc>
          <w:tcPr>
            <w:tcW w:w="0" w:type="dxa"/>
            <w:vAlign w:val="bottom"/>
          </w:tcPr>
          <w:p>
            <w:pPr>
              <w:spacing w:after="0"/>
              <w:rPr>
                <w:sz w:val="1"/>
                <w:szCs w:val="1"/>
                <w:color w:val="auto"/>
              </w:rPr>
            </w:pPr>
          </w:p>
        </w:tc>
      </w:tr>
      <w:tr>
        <w:trPr>
          <w:trHeight w:val="198"/>
        </w:trPr>
        <w:tc>
          <w:tcPr>
            <w:tcW w:w="27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412,783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(40,142)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(36,353)</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449,136</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348,950</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4,217,885</w:t>
            </w: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165,493</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by segment as of September 27, 2025, and December 28, 2024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$ 84,116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$ 146,747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$ 21,575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$ 339,839</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Purchase Accounting Adjustments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8"/>
                <w:szCs w:val="18"/>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 w:type="dxa"/>
            <w:vAlign w:val="bottom"/>
          </w:tcPr>
          <w:p>
            <w:pPr>
              <w:spacing w:after="0"/>
              <w:rPr>
                <w:sz w:val="20"/>
                <w:szCs w:val="20"/>
                <w:color w:val="auto"/>
              </w:rPr>
            </w:pPr>
          </w:p>
        </w:tc>
      </w:tr>
      <w:tr>
        <w:trPr>
          <w:trHeight w:val="203"/>
        </w:trPr>
        <w:tc>
          <w:tcPr>
            <w:tcW w:w="37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as of September 27, 2025</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$ 84,158</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$ 146,759</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88,315</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$ 22,913</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$ 342,145</w:t>
            </w:r>
          </w:p>
        </w:tc>
        <w:tc>
          <w:tcPr>
            <w:tcW w:w="2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18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and nine months ended September 27, 2025, and September 28, 2024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4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512,822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556,638</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1,743,521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1,816,167</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250,413</w:t>
            </w:r>
          </w:p>
        </w:tc>
      </w:tr>
      <w:tr>
        <w:trPr>
          <w:trHeight w:val="22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r>
      <w:tr>
        <w:trPr>
          <w:trHeight w:val="21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2,073,403</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245,868</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769,151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811,211</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395,408</w:t>
            </w:r>
          </w:p>
        </w:tc>
      </w:tr>
      <w:tr>
        <w:trPr>
          <w:trHeight w:val="223"/>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54,629</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1,261,248</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201,596</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201,831</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618,907</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679,732</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197,259</w:t>
            </w:r>
          </w:p>
        </w:tc>
      </w:tr>
      <w:tr>
        <w:trPr>
          <w:trHeight w:val="236"/>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131,170</w:t>
            </w: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496,465</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534,625</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1,563,995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1,627,068</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224,219</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36"/>
        </w:trPr>
        <w:tc>
          <w:tcPr>
            <w:tcW w:w="4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1,559,627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1,649,383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4,990,520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5,190,308</w:t>
            </w: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23.8% in the third quarter of 2025 compared to 24.2% in the same period of 2024 and was 22.9% in the first nine months of 2025 compared to 22.3% for the same period in 2024. The decrease in our effective tax rate for the third quarter was primarily due to an increase in our tax deduction from stock-based compensation accounted for as a permanent difference. The increase in our effective tax rate for the first nine months of 2025 was primarily due to an increase in foreign subsidiary income taxed in the US and a decrease in our tax deduction from stock-based compensation for the year. A significant amount of stock-based compensation vested in the first quarter of 2024, which decreased the prior year effective tax rate in comparison to 2025.</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continuing to evaluate the impact of OBBBA beyond 2025; however, any effects are expected to relate primarily to deferred tax items and are not anticipated to materially impact our effective tax rate.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3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nine months of 2025 and 2024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2025, we repurchased 2,819,901 shares of our common stock at an average share price of $103.04.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firstLine="492"/>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2024, we repurchased approximately 1,399,944 shares of our common stock at an average share price of $113.55.</w:t>
      </w:r>
    </w:p>
    <w:p>
      <w:pPr>
        <w:spacing w:after="0" w:line="158" w:lineRule="exact"/>
        <w:rPr>
          <w:sz w:val="20"/>
          <w:szCs w:val="20"/>
          <w:color w:val="auto"/>
        </w:rPr>
      </w:pPr>
    </w:p>
    <w:p>
      <w:pPr>
        <w:ind w:left="500" w:hanging="450"/>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Statements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Subsequent to our reporting date, we repurchased 894,428 shares for $81.6 million, resulting in an average share price of $91.22.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Michigan.</w:t>
      </w:r>
    </w:p>
    <w:p>
      <w:pPr>
        <w:spacing w:after="0" w:line="17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changes in tariffs, import/export regulations, and other trade policies; concentration of sales to customers; the success of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third quarter of 2025 include the following highlights:</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5% compared to the third quarter of 2024, which was comprised of a 1% decrease in selling prices and a 4% decrease in unit sales. The overall decrease in our selling prices is primarily due to more competitive pricing in our Site Built business unit and lower commodity lumber costs which were passed to customers in our selling prices. Organic unit sales declined due to a 6% decrease in our retail segment, a 2% decrease in our construction segment, and a 3% decrease in our packaging segment. An acquired business contributed a 1% unit increase in our packaging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$36 million, or 12%, compared to the same period of the prior year. By segment, gross profits decreased by $21 million in Construction, $13 million in Retail, $4 million in Packaging, and $1 million in All Other, partially offset by a $3 million increase in Corporate. The overall decrease in our gross profits is primarily due to weaker demand impacting volumes in our Site-Built, ProWood, and Structural Packaging business units, competitive pricing in our Site Built and PalletOne business units, and cost increases in our Deckorators business unit.</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$31 million, or 25%, compared to the third quarter of 2024. The overall decrease is a result of the decrease in gross profits mentioned above and an $8 million increase in our net loss from the impairment and disposition of certain assets and other net losses, partially offset by a $13 million decrease in selling, general, and administrative (“SG&amp;A”) expenses. The decrease in SG&amp;A is due to our cost reduction efforts and incentive compensation tied to profitability and return on investment totaling $19 million, partially offset by a $6 million increase in advertising costs to build brand awareness of our Deckorators’ Surestone composite decking.</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was $399 million in the first nine months of 2025 compared to $498 million during the first nine months of 2024. The $99 million decline resulted from a decrease in net earnings and non-cash expenses of $79 million and an increase in our investment in net working capital since year end that was $19 million higher in the first nine months of 2025 than it was in 2024. We anticipate that this increase in net working capital will convert to cash by the end of the fourth quarter as we move to the slower seasonal time for our business.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September 2025 was $1.0 billion compared to $1.2 billion at the end of September 2024. The decline in our cash is primarily due to our elevated level of share repurchases this year. Our unused borrowing capacity under our revolving credit facility and a shelf agreement with certain lenders along with our cash resulted in total liquidity of approximately $2.3 billion at the end of the third quarter of 2025.</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28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2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2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Lumber prices in 2025 have declined since the Spring peak and September prices are lower year over year. The decline in overall lumber prices, in spite of higher duties on Canadian lumber imported to the United States, reflects the overall weak demand environment in the end markets that primarily consume softwood lumber – new housing, housing repair and remodel activity, and industrial (including packaging).</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 change in lumber prices impacts profitability of products sold with fixed and variable prices, as discussed below.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41.4% and 38.6% of our sales in the first nine months of 2025 and 2024,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5"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22% of our total net sales in the first nine months of 2025.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18% of our total purchases for the first nine months of 2025 were transacted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TARIFFS ON OUR OPERATING RESULTS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proposed tariffs in Canada continue to be paused. If they are activated, the demand for domestic lumber products may increase, which will likely result in higher costs if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September 27, 2025, 77% of our lumber purchases are from domestic suppliers and 16% are imported from Canada, and 7% are imported from other international suppliers.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two business acquisitions in fiscal 2025 and one in fiscal 2024. The annual historical sales attributable to these acquisitions are approximately $49 million. These business combinations are not significant to our quarterly results and thus proforma results for 2025 and 2024 are not presented.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Interim Condensed Consolidated Financial Statements, Note F, “Business Combinations”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340" w:type="dxa"/>
            <w:vAlign w:val="bottom"/>
          </w:tcPr>
          <w:p>
            <w:pPr>
              <w:spacing w:after="0"/>
              <w:rPr>
                <w:sz w:val="10"/>
                <w:szCs w:val="10"/>
                <w:color w:val="auto"/>
              </w:rPr>
            </w:pPr>
          </w:p>
        </w:tc>
        <w:tc>
          <w:tcPr>
            <w:tcW w:w="114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4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2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6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4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disposition and impairment of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2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22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4360" w:type="dxa"/>
            <w:vAlign w:val="bottom"/>
          </w:tcPr>
          <w:p>
            <w:pPr>
              <w:spacing w:after="0"/>
              <w:rPr>
                <w:sz w:val="13"/>
                <w:szCs w:val="13"/>
                <w:color w:val="auto"/>
              </w:rPr>
            </w:pPr>
          </w:p>
        </w:tc>
        <w:tc>
          <w:tcPr>
            <w:tcW w:w="2360" w:type="dxa"/>
            <w:vAlign w:val="bottom"/>
            <w:tcBorders>
              <w:top w:val="single" w:sz="8" w:color="auto"/>
            </w:tcBorders>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tcBorders>
              <w:top w:val="single" w:sz="8" w:color="auto"/>
            </w:tcBorders>
            <w:gridSpan w:val="3"/>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r>
      <w:tr>
        <w:trPr>
          <w:trHeight w:val="124"/>
        </w:trPr>
        <w:tc>
          <w:tcPr>
            <w:tcW w:w="4360" w:type="dxa"/>
            <w:vAlign w:val="bottom"/>
          </w:tcPr>
          <w:p>
            <w:pPr>
              <w:spacing w:after="0"/>
              <w:rPr>
                <w:sz w:val="10"/>
                <w:szCs w:val="10"/>
                <w:color w:val="auto"/>
              </w:rPr>
            </w:pPr>
          </w:p>
        </w:tc>
        <w:tc>
          <w:tcPr>
            <w:tcW w:w="118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1180" w:type="dxa"/>
            <w:vAlign w:val="bottom"/>
            <w:tcBorders>
              <w:top w:val="single" w:sz="8" w:color="auto"/>
            </w:tcBorders>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0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 w:type="dxa"/>
            <w:vAlign w:val="bottom"/>
          </w:tcPr>
          <w:p>
            <w:pPr>
              <w:spacing w:after="0"/>
              <w:rPr>
                <w:sz w:val="10"/>
                <w:szCs w:val="10"/>
                <w:color w:val="auto"/>
              </w:rPr>
            </w:pPr>
          </w:p>
        </w:tc>
      </w:tr>
      <w:tr>
        <w:trPr>
          <w:trHeight w:val="180"/>
        </w:trPr>
        <w:tc>
          <w:tcPr>
            <w:tcW w:w="4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spacing w:after="0"/>
              <w:rPr>
                <w:sz w:val="20"/>
                <w:szCs w:val="20"/>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20"/>
                <w:szCs w:val="20"/>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0"/>
                <w:szCs w:val="20"/>
                <w:color w:val="auto"/>
              </w:rPr>
            </w:pPr>
          </w:p>
        </w:tc>
      </w:tr>
      <w:tr>
        <w:trPr>
          <w:trHeight w:val="630"/>
        </w:trPr>
        <w:tc>
          <w:tcPr>
            <w:tcW w:w="4360" w:type="dxa"/>
            <w:vAlign w:val="bottom"/>
          </w:tcPr>
          <w:p>
            <w:pPr>
              <w:spacing w:after="0"/>
              <w:rPr>
                <w:sz w:val="24"/>
                <w:szCs w:val="24"/>
                <w:color w:val="auto"/>
              </w:rPr>
            </w:pPr>
          </w:p>
        </w:tc>
        <w:tc>
          <w:tcPr>
            <w:tcW w:w="10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99"/>
              </w:rPr>
              <w:t>26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competitive pricing and higher material costs for most of the year, which has reduced our gross profits.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44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3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3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1,559,627</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1,296,946</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262,681</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170,030</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(1,559)</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20" w:type="dxa"/>
            <w:vAlign w:val="bottom"/>
          </w:tcPr>
          <w:p>
            <w:pPr>
              <w:spacing w:after="0"/>
              <w:rPr>
                <w:sz w:val="19"/>
                <w:szCs w:val="19"/>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1,350,971</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119,926</w:t>
            </w:r>
          </w:p>
        </w:tc>
        <w:tc>
          <w:tcPr>
            <w:tcW w:w="20" w:type="dxa"/>
            <w:vAlign w:val="bottom"/>
          </w:tcPr>
          <w:p>
            <w:pPr>
              <w:spacing w:after="0"/>
              <w:rPr>
                <w:sz w:val="19"/>
                <w:szCs w:val="19"/>
                <w:color w:val="auto"/>
              </w:rPr>
            </w:pP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1,233,626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1,563,995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4,990,520</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(35,984)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4,146,909</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843,611</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531,279</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304,814</w:t>
            </w:r>
          </w:p>
        </w:tc>
        <w:tc>
          <w:tcPr>
            <w:tcW w:w="20" w:type="dxa"/>
            <w:vAlign w:val="bottom"/>
          </w:tcPr>
          <w:p>
            <w:pPr>
              <w:spacing w:after="0"/>
              <w:rPr>
                <w:sz w:val="19"/>
                <w:szCs w:val="19"/>
                <w:color w:val="auto"/>
              </w:rPr>
            </w:pP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1,261,248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(17,702)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4,203,075</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(2,527)</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412,783</w:t>
            </w:r>
          </w:p>
        </w:tc>
        <w:tc>
          <w:tcPr>
            <w:tcW w:w="20" w:type="dxa"/>
            <w:vAlign w:val="bottom"/>
          </w:tcPr>
          <w:p>
            <w:pPr>
              <w:spacing w:after="0"/>
              <w:rPr>
                <w:sz w:val="19"/>
                <w:szCs w:val="19"/>
                <w:color w:val="auto"/>
              </w:rPr>
            </w:pPr>
          </w:p>
        </w:tc>
      </w:tr>
      <w:tr>
        <w:trPr>
          <w:trHeight w:val="64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780" w:hanging="184"/>
        <w:spacing w:after="0"/>
        <w:tabs>
          <w:tab w:leader="none" w:pos="6780"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8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560" w:type="dxa"/>
            <w:vAlign w:val="bottom"/>
            <w:tcBorders>
              <w:top w:val="single" w:sz="8" w:color="auto"/>
              <w:bottom w:val="single" w:sz="8" w:color="auto"/>
            </w:tcBorders>
            <w:gridSpan w:val="10"/>
          </w:tcPr>
          <w:p>
            <w:pPr>
              <w:jc w:val="center"/>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 2025 versus Third Quarter 2024</w:t>
            </w: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1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7"/>
        </w:trPr>
        <w:tc>
          <w:tcPr>
            <w:tcW w:w="48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Year-to-Date 2025 versus Year-to-Date 2024</w:t>
            </w: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1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20" w:right="4019" w:hanging="4370"/>
        <w:spacing w:after="0" w:line="541" w:lineRule="auto"/>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Expanding geographically in our higher margin core businesses</w:t>
      </w:r>
      <w:r>
        <w:rPr>
          <w:rFonts w:ascii="Times New Roman" w:cs="Times New Roman" w:eastAsia="Times New Roman" w:hAnsi="Times New Roman"/>
          <w:sz w:val="17"/>
          <w:szCs w:val="17"/>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623570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380" w:right="79" w:hanging="330"/>
        <w:spacing w:after="0" w:line="253"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190" w:lineRule="exact"/>
        <w:rPr>
          <w:sz w:val="20"/>
          <w:szCs w:val="20"/>
          <w:color w:val="auto"/>
        </w:rPr>
      </w:pPr>
    </w:p>
    <w:p>
      <w:pPr>
        <w:jc w:val="both"/>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2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27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r>
      <w:tr>
        <w:trPr>
          <w:trHeight w:val="156"/>
        </w:trPr>
        <w:tc>
          <w:tcPr>
            <w:tcW w:w="346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60" w:type="dxa"/>
            <w:vAlign w:val="bottom"/>
            <w:shd w:val="clear" w:color="auto" w:fill="CCEEFF"/>
          </w:tcPr>
          <w:p>
            <w:pPr>
              <w:spacing w:after="0"/>
              <w:rPr>
                <w:sz w:val="18"/>
                <w:szCs w:val="18"/>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tcPr>
          <w:p>
            <w:pPr>
              <w:spacing w:after="0"/>
              <w:rPr>
                <w:sz w:val="20"/>
                <w:szCs w:val="20"/>
                <w:color w:val="auto"/>
              </w:rPr>
            </w:pPr>
          </w:p>
        </w:tc>
      </w:tr>
      <w:tr>
        <w:trPr>
          <w:trHeight w:val="353"/>
        </w:trPr>
        <w:tc>
          <w:tcPr>
            <w:tcW w:w="3460" w:type="dxa"/>
            <w:vAlign w:val="bottom"/>
          </w:tcPr>
          <w:p>
            <w:pPr>
              <w:spacing w:after="0"/>
              <w:rPr>
                <w:sz w:val="24"/>
                <w:szCs w:val="24"/>
                <w:color w:val="auto"/>
              </w:rPr>
            </w:pPr>
          </w:p>
        </w:tc>
        <w:tc>
          <w:tcPr>
            <w:tcW w:w="2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r>
      <w:tr>
        <w:trPr>
          <w:trHeight w:val="155"/>
        </w:trPr>
        <w:tc>
          <w:tcPr>
            <w:tcW w:w="346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60" w:type="dxa"/>
            <w:vAlign w:val="bottom"/>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60" w:type="dxa"/>
            <w:vAlign w:val="bottom"/>
            <w:shd w:val="clear" w:color="auto" w:fill="CCEEFF"/>
          </w:tcPr>
          <w:p>
            <w:pPr>
              <w:spacing w:after="0"/>
              <w:rPr>
                <w:sz w:val="18"/>
                <w:szCs w:val="18"/>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60" w:type="dxa"/>
            <w:vAlign w:val="bottom"/>
          </w:tcPr>
          <w:p>
            <w:pPr>
              <w:spacing w:after="0"/>
              <w:rPr>
                <w:sz w:val="20"/>
                <w:szCs w:val="20"/>
                <w:color w:val="auto"/>
              </w:rPr>
            </w:pPr>
          </w:p>
        </w:tc>
      </w:tr>
    </w:tbl>
    <w:p>
      <w:pPr>
        <w:spacing w:after="0" w:line="121"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down 6% in the third quarter and 3% in the first nine months of 2025 compared to the prior year. Our overall unit sales of commodity-based products decreased approximately 5% in the third quarter and 4% in the first nine months of 2025 compared to the prior year.</w:t>
      </w:r>
    </w:p>
    <w:p>
      <w:pPr>
        <w:spacing w:after="0" w:line="176" w:lineRule="exact"/>
        <w:rPr>
          <w:sz w:val="20"/>
          <w:szCs w:val="20"/>
          <w:color w:val="auto"/>
        </w:rPr>
      </w:pPr>
    </w:p>
    <w:p>
      <w:pPr>
        <w:jc w:val="both"/>
        <w:ind w:left="380" w:right="79" w:hanging="330"/>
        <w:spacing w:after="0" w:line="254"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third quarter and first nine months of 2025 increased 12% and 3%, respectively. Approximately $58.5 million of new product sales for the first nine months of 2024, while they continue to be sold, were sunset in 2025 and excluded from the table below because they no longer meet the definition above. Our short-term goal is to achieve annual new product sales of at least $550 million in 2025. For the first nine months of 2025, new product sales totaled $360 million. Our long-term goal is for new products to comprise at least 10% of our total net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2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140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Sales</w:t>
            </w: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8"/>
                <w:szCs w:val="18"/>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shd w:val="clear" w:color="auto" w:fill="CCEEFF"/>
          </w:tcPr>
          <w:p>
            <w:pPr>
              <w:spacing w:after="0"/>
              <w:rPr>
                <w:sz w:val="20"/>
                <w:szCs w:val="20"/>
                <w:color w:val="auto"/>
              </w:rPr>
            </w:pPr>
          </w:p>
        </w:tc>
      </w:tr>
      <w:tr>
        <w:trPr>
          <w:trHeight w:val="203"/>
        </w:trPr>
        <w:tc>
          <w:tcPr>
            <w:tcW w:w="27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118,208</w:t>
            </w:r>
          </w:p>
        </w:tc>
        <w:tc>
          <w:tcPr>
            <w:tcW w:w="9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105,131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12.4 %</w:t>
            </w:r>
          </w:p>
        </w:tc>
        <w:tc>
          <w:tcPr>
            <w:tcW w:w="280" w:type="dxa"/>
            <w:vAlign w:val="bottom"/>
            <w:tcBorders>
              <w:top w:val="single" w:sz="8" w:color="CCEEFF"/>
            </w:tcBorders>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2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0"/>
                <w:szCs w:val="10"/>
                <w:color w:val="auto"/>
              </w:rPr>
            </w:pPr>
          </w:p>
        </w:tc>
        <w:tc>
          <w:tcPr>
            <w:tcW w:w="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tcPr>
          <w:p>
            <w:pPr>
              <w:spacing w:after="0"/>
              <w:rPr>
                <w:sz w:val="18"/>
                <w:szCs w:val="18"/>
                <w:color w:val="auto"/>
              </w:rPr>
            </w:pPr>
          </w:p>
        </w:tc>
      </w:tr>
      <w:tr>
        <w:trPr>
          <w:trHeight w:val="23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03"/>
        </w:trPr>
        <w:tc>
          <w:tcPr>
            <w:tcW w:w="2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360,274</w:t>
            </w:r>
          </w:p>
        </w:tc>
        <w:tc>
          <w:tcPr>
            <w:tcW w:w="9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350,286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80"/>
        <w:spacing w:after="0" w:line="252" w:lineRule="auto"/>
        <w:rPr>
          <w:sz w:val="20"/>
          <w:szCs w:val="20"/>
          <w:color w:val="auto"/>
        </w:rPr>
      </w:pPr>
      <w:r>
        <w:rPr>
          <w:rFonts w:ascii="Times New Roman" w:cs="Times New Roman" w:eastAsia="Times New Roman" w:hAnsi="Times New Roman"/>
          <w:sz w:val="18"/>
          <w:szCs w:val="18"/>
          <w:color w:val="auto"/>
        </w:rPr>
        <w:t>Net sales in the third quarter of 2025 decreased by 7% compared to the same period of 2024 due to a 6% decrease in units and a 1% decrease in selling prices. Unit changes within this segment consisted of a 5% decrease in ProWood and 31% decrease in Edge as we complete the closure of our Bonner, Montana plants and transition production to other facilities, partially offset by a 5% increase in Deckorators. Our unit sales to big box customers, which we believe are more closely correlated with repair and remodel activity, decreased approximately 6%, while unit sales to independent retailers, which we believe are more closely correlated to new housing starts, also decreased approximately 6%. Of the 6% increase in net sales for our Deckorators business unit compared to the same period of 2024, wood-plastic composite decking and mineral-based-composite decking (sold under our new Surestone tradename) increased 9% and 31% from the prior year, respectively, partially offset by railings which declined 13% from the prior year. The decline in our railing sales is due to lost market share with a big box customer which began impacting sales at the beginning of the year. However, we gained market share with another big box customer which began to more favorably impact our sales beginning in July as initial stocking orders were received for one of our mineral-based composite decking products. Overall, for the remainder of this year, we believe our Deckorators business unit will benefit from a modest net gain in market share as we continue stocking additional stores and as the new capacity we’ve added to produce our mineral-based composite decking reaches our throughput targets. We expect to realize the full benefit of our net market share gain in 2026. Our long-term goal is to double our market share of composite decking and railing over the next 5 years. The decline in ProWood volume is primarily due to higher interest rates and weaker consumer sentiment resulting in a softening of demand to complete repair and remodel projects.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$13 million, or 14% to $80 million for the third quarter of 2025 compared to the same period last year. The change in gross profit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pressure-treated products decreased by $4 million, primarily due to falling lumber prices. Additionally, gross profits associated with our Edge products declined by $4 million due to inefficiencies associated with the closure of our Edge manufacturing facilities in Bonner, MT and shift of volume to other locations.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$4 million primarily due to lower railing sales and inefficiencies associated with adding new capacity to produce our mineral-based composite decking. We believe this new, more efficient technology will allow us to achieve our target cost per unit. In addition, our wood plastic composite plant experienced an unfavorable change in product mix.</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$5 million, or 9%, in the third quarter of 2025 compared to the same period of 2024. Accrued bonus expense, which varies with overall profitability and return on investment of the segment, decreased $4 million from the third quarter of 2024 and totaled $8 million for the quarter. This decrease, along with a decrease in wages and benefits of $2 million and many other small decreases totaling $6 million, was partially offset by an increase in advertising of $7 million related to our efforts to build brand awareness of our Deckorators Surestone decking.</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Earnings from operations decreased in the third quarter of 2025 compared to 2024 by $21 million, or 50%, as a result of the factors mentioned above, as well as a foreign exchange loss totaling $1 million in 2025 compared to a gain of $3 million in 2024, and an increase in the net loss on disposition and impairment of assets, which was comprised of machinery and equipment impairment charges of $11 million, lease impairment charges of $2 million and intangible asset impairment charges of $2 million, partially offset by a gain on the sale of machinery and equipment totaling $5 million.</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first nine months of 2025 decreased by 4% compared to the same period of 2024, due to a 5% decrease in units, partially offset by a 1% increase in selling prices. Unit changes within this segment consisted of decreases of 3% in Deckorators, 5% in ProWood, and 15% in Edge as we complete the closure of our Bonner, Montana plants and transition production to other facilities. Unit sales to big box customers decreased approximately 5%, while unit sales to independent retailers decreased approximately 6%. Within our Deckorators business unit, our sales of railings decreased by 26% due to the lost market share described above. These decreases were partially offset by a 34% increase in our mineral-based-composite decking as consumers continue to see the benefits of its superior product attributes and a 1% increase in wood-plastic composite decking.</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$46 million, or 14% to $275 million for the first nine months of 2025 compared to the same period in 2024. The change in gross profit was attributable to the following:</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ProWood business unit decreased $22 million, primarily due to a decline in unit sales as a result of softer demand and the impact of declining lumber prices on our selling prices. The products sold by this business unit are primarily at a variable selling price determined at the time of shipment. Additionally, gross profits associated with our Edge products declined by $9 million due to the closure of our Edge manufacturing facilities in Bonner, MT and transition of this production to other facilities.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$12 million due to the decline in railing sales mentioned above and a temporary increase in our cost per unit of composite decking as we’ve experienced inefficiencies while adding new capacity in our mineral based composite plant and our wood plastic composite plant has experienced an unfavorable change in sales mix.</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$12 million, or 7%, in the first nine months of 2025 compared to the same period of 2024. The overall decrease was due to a decline in accrued bonus expense of $13 million, which totaled $32 million for the first nine months of 2025, as well as a $4 million decrease in wages and benefits, and many smaller decreases in several accounts totaling $12 million. These decreases were partially offset by an increase in advertising of $17 million primarily related to Deckorators.</w:t>
      </w:r>
    </w:p>
    <w:p>
      <w:pPr>
        <w:sectPr>
          <w:pgSz w:w="11900" w:h="16838" w:orient="portrait"/>
          <w:cols w:equalWidth="0" w:num="1">
            <w:col w:w="9019"/>
          </w:cols>
          <w:pgMar w:left="1440" w:top="540"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2025 compared to 2024 by $47 million, or 32%, as a result of the factors mentioned above as well as a foreign exchange loss totaling $1 million in 2025 compared to a gain of $3 million in 2024, and an increase in the net loss on disposition and impairment of assets, which was comprised of machinery and equipment impairment charges of $11 million, lease impairment charges of $2 million and intangible asset impairment charges of $2 million, partially offset by a gain on the sale of machinery and equipment totaling $5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2025 decreased 2% compared to the same period of 2024, due to a 3% decrease in organic unit sales, partially offset by an acquired business which contributed 1% to unit growth. Organic unit changes consist of a 5% decrease in Structural Packaging and 4% in PalletOne, partially offset by a 15% increase in Protective Packaging due to geographic expansion and market share gains.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$4 million, or 5%, for the third quarter of 2025 compared to the same period last year. The change in gross profit was attributable to the following:</w:t>
      </w:r>
    </w:p>
    <w:p>
      <w:pPr>
        <w:spacing w:after="0" w:line="162"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increased by $1 million.</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$5 million primarily due to competitive price pressure which more than offset the favorable impact of unit sales growth as we continue to execute our strategy to gain market share.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remained flat compared to last year.</w:t>
      </w:r>
    </w:p>
    <w:p>
      <w:pPr>
        <w:spacing w:after="0" w:line="22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$4 million, or 7%, in the third quarter of 2025 compared to the same period of 2024. The decrease is attributable to a decrease in wages and benefits of $1 million and many smaller decreases in several accounts totaling $4 million. Accrued bonus expense increased approximately $1 million relative to the same period of 2024 and totaled $9 million for the quarter.</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Earnings from operations increased in the third quarter of 2025 compared to 2024 by $6 million, or 26%, due to the factors discussed above, as well as an increase in the net gain on disposition and impairment of assets, which was comprised of a gain on the sale of machinery and equipment totaling $6 million.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first nine months of 2025 decreased 2% compared to the same period of 2024, due to a 2% decrease in selling prices, due to competitive price pressure, and a 1% decrease in organic unit sales, partially offset by an acquired business which contributed 1% to unit growth. Organic unit changes consist of a 4% decrease in structural packaging, primarily due to a decline in demand, partially offset by 12% unit growth in Protective Packaging due to geographic expansion and market share gains. Unit sales at PalletOne increased 5% due to acquisitions; there was no change in organic unit sales.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$33 million, or 14%, for the first nine months of 2025 compared to the same period in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gross profits was attributable to the following.</w:t>
      </w:r>
    </w:p>
    <w:p>
      <w:pPr>
        <w:spacing w:after="0" w:line="207"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$17 million. The decline in gross profit is primarily due to lower unit sales and competitive price pressure due to lower demand.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$15 million primarily due to competitive price pressure as we continue to execute our strategy to increase market share.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$1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$20 million, or 13%, in the first nine months of 2025 compared to the same period of 2024. Accrued bonus expense decreased $5 million, and totaled $25 million for the nine months of 2025. The remaining decrease is attributable to a $3 million decrease in insurance costs, a $2 million decrease in sales incentive compensation, a $2 million decrease in travel and entertainment expenses, $1 million decrease in wages and benefits, and many smaller decreases in several accounts totaling $7 million.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2025 compared to 2024 by $7 million, or 9%, due to the factors discussed above, partially offset by an increase in the net gain on disposition and impairment of assets, which comprised of a gain on the sale of machinery and equipment totaling $5 million in 2025 compared to a $1 million loss in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third quarter of 2025 decreased 7% compared to the same period of 2024 due to a 5% decrease in selling prices, due to competitive price pressure in our site-built business unit, and a 2% decrease in unit sales. We experienced a unit sales decrease in site-built of 15% due to weaker demand for housing, which was partially offset by increases of 4% in factory-built, 13% in commercial construction, and 12% in concrete forming. Our growth in factory-built is primarily due to an increase in industry production. As of September 27, 2025 and September 28, 2024, we estimate that our backlog of orders in our site-built housing business unit were $53 million and $80 million, respectively.</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$21 million, or 18%, in the third quarter of 2025 compared to the same period of 2024. The change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$27 million, primarily due to a decline in unit sales and competitive price pressure due to weaker demand.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by $3 million due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$2 million due to an increase in unit sales.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increased by $2 million due to an increase in unit sales.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$10 million, or 15%, in the third quarter of 2025 compared to the same period of 2024. Accrued bonus expense decreased by $3 million and totaled $10 million for the quarter. The decrease in SG&amp;A was also attributable to a decrease in wages and benefits of $2 million, bad debts of $2 million, and many smaller decreases in several accounts totaling $3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third quarter of 2025 compared to 2024 by $10 million, or 24%, due to the factors mentioned above.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2025 decreased 4% compared to the same period of 2024 and consisted of a 5% decrease in selling prices, partially offset by a 1% increase in unit sales. Unit changes within this segment consist of increases of 8% in factory-built, primarily due to an increase in industry production, 8% in concrete forming, and 8% in commercial construction. These increases were offset by a unit decline of 9% in site-built housing due to lower demand.</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$69 million, or 20% for the first nine months of 2025 compared to the same period of 2024. The change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housing business unit decreased by $77 million primarily due to a decline in unit sales and competitive price pressure.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remained flat as a result of increased material costs, which was offset by a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$4 million due to higher unit sales.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$4 million as a result of increased unit sales.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$26 million, or 12%, in the first nine months of 2025 compared to the same period of 2024. Accrued bonus expenses decreased $13 million and totaled $30 million for the first nine months of 2025. The decrease in SG&amp;A was also attributable to a decrease in our sales incentive compensation totaling $4 million, wages and benefits totaling $3 million, travel expense totaling $2 million, and many smaller decreases in several accounts totaling $4 million.</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in the first nine months of 2025 compared to 2024 by $44 million, or 31%,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Effective tax rates differ from statutory federal income tax rates, primarily due to provisions for foreign, state and local income taxes and permanent tax differences. Our effective tax rate was 23.8% in the third quarter of 2025 compared to 24.2% in the same period of 2024 and was 22.9% in the first nine months of 2025 compared to 22.3% for the same period in 2024. The decrease in our effective tax rate for the third quarter was primarily due to an increase in our tax deduction from stock-based compensation accounted for as a permanent difference. </w:t>
      </w:r>
      <w:r>
        <w:rPr>
          <w:rFonts w:ascii="Times New Roman" w:cs="Times New Roman" w:eastAsia="Times New Roman" w:hAnsi="Times New Roman"/>
          <w:sz w:val="18"/>
          <w:szCs w:val="18"/>
          <w:color w:val="212529"/>
        </w:rPr>
        <w:t>The increase in our effective tax rate for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nine months of 2025 was primarily due to an increase in foreign subsidiary income taxed in the US and a decrease in our tax deduction from stock-based compensation for the year. A significant amount of stock-based compensation vested in the first quarter of 2024, which decreased the prior year effective tax rate in comparison to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5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0"/>
        </w:trPr>
        <w:tc>
          <w:tcPr>
            <w:tcW w:w="57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497,662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(245,683)</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69,312</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1,179,594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r>
      <w:tr>
        <w:trPr>
          <w:trHeight w:val="21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1,191,568</w:t>
            </w: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increased to 64 days from 59 days during the third quarter of 2025 and increased to 61 days from 59 days during the first nine months of 2025 compared to the same periods of the prior year.</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20" w:type="dxa"/>
            <w:vAlign w:val="bottom"/>
          </w:tcPr>
          <w:p>
            <w:pPr>
              <w:spacing w:after="0"/>
              <w:rPr>
                <w:sz w:val="15"/>
                <w:szCs w:val="15"/>
                <w:color w:val="auto"/>
              </w:rPr>
            </w:pP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62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8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0"/>
                <w:szCs w:val="10"/>
                <w:color w:val="auto"/>
              </w:rPr>
            </w:pPr>
          </w:p>
        </w:tc>
        <w:tc>
          <w:tcPr>
            <w:tcW w:w="108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9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0"/>
                <w:szCs w:val="10"/>
                <w:color w:val="auto"/>
              </w:rPr>
            </w:pPr>
          </w:p>
        </w:tc>
      </w:tr>
      <w:tr>
        <w:trPr>
          <w:trHeight w:val="180"/>
        </w:trPr>
        <w:tc>
          <w:tcPr>
            <w:tcW w:w="4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46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increase in our days supply of inventory for the quarter and first nine months of 2025 is due to slower inventory turns in our Retail and Packaging segments primarily due to an increase in safety stock as we planned for supply chain disruption in certain items resulting from tariffs. Our days of sales outstanding remained flat compared to the prior year. We continue to focus on past due account balances with customers, and the percentage of our accounts receivable that are current was 94% and 93% at the end of the third quarter of 2025 and 2024, respectively.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first nine months of 2025, our cash flows from operations were $399 million and were comprised of net earnings of $256 million and $148 million of non-cash expenses, offset by a $5 million increase in working capital since the end of December 2024 due to seasonal demand. Our cash flows from operations decreased by $99 million compared to the same period of last year primarily due to the decline in our net earnings as well as the increase in our investment in net working capital since year end, which was $19 million higher in 2025 compared to 2024. We anticipate the seasonal increase in net working capital in 2025 will be converted to cash by the end of the year.</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Purchases of property, plant, and equipment of $206 million comprised most of our cash used in investing activities during the first nine months of 2025. Outstanding purchase commitments on existing capital projects totaled approximately $109 million on September 27, 2025. Capital spending primarily consists of several projects to expand capacity to manufacture new and value-added products, primarily in our Packaging segment and our Site-Built and Deckorators business units, to achieve efficiencies through automation in all segments, and make improvements to a number of facilities. We intend to fund capital expenditures and purchase commitments through our operating cash flows for the balance of the year. Cash used for acquisitions during the first nine months of 2025 amounted to $18 million (refer to footnote F to our condensed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nine months of 2025 primarily consisted of the following:</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2,819,901 shares of our common stock for $291 million during the first nine months of 2025 at an average price of $103.04 per share. Of this amount, 87,243 shares were repurchased in order to settle tax withholding obligations of long-term stock incentive plan participants’ awards which vested in the current year. The shares were purchased at an average price of $109.83 per share, totaling $10 million.</w:t>
      </w:r>
    </w:p>
    <w:p>
      <w:pPr>
        <w:spacing w:after="0" w:line="179" w:lineRule="exact"/>
        <w:rPr>
          <w:rFonts w:ascii="Times New Roman" w:cs="Times New Roman" w:eastAsia="Times New Roman" w:hAnsi="Times New Roman"/>
          <w:sz w:val="18"/>
          <w:szCs w:val="18"/>
          <w:color w:val="auto"/>
        </w:rPr>
      </w:pPr>
    </w:p>
    <w:p>
      <w:pPr>
        <w:ind w:left="760" w:right="79" w:hanging="31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nine months of 2025 were $62 million ($0.35 per share), a 6% increase from 2024.</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27, 2025, we had no amount outstanding on our $750 million revolving credit facility, and we had approximately $711 million in remaining availability after considering $39 million in outstanding letters of credit under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27, 2025.</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third quarter of 2025, we had approximately $2.3 billion in total liquidity, consisting of our cash, remaining availability under our revolving credit facility, and a shelf agreement with certain lenders providing up to $575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auto"/>
        </w:rPr>
        <w:t>long-term</w:t>
      </w:r>
      <w:r>
        <w:rPr>
          <w:rFonts w:ascii="Times New Roman" w:cs="Times New Roman" w:eastAsia="Times New Roman" w:hAnsi="Times New Roman"/>
          <w:sz w:val="18"/>
          <w:szCs w:val="18"/>
          <w:color w:val="auto"/>
        </w:rPr>
        <w:t xml:space="preserve"> financial goals include:</w:t>
      </w:r>
    </w:p>
    <w:p>
      <w:pPr>
        <w:spacing w:after="0" w:line="117" w:lineRule="exact"/>
        <w:rPr>
          <w:sz w:val="20"/>
          <w:szCs w:val="20"/>
          <w:color w:val="auto"/>
        </w:rPr>
      </w:pPr>
    </w:p>
    <w:p>
      <w:pPr>
        <w:ind w:left="720" w:right="1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53"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However, in the short-term, demand in our markets has contracted due to a variety of factors, which will continue to impact our results and vary depending on the severity and duration of this cycle. As a result of these more challenging conditions, we have developed and are executing plans for reducing costs, eliminating excess capacity, divesting under-performing assets, and exiting business that does not meet our profitability targets. Our goal through these actions is to lower our cost structure and improve our operating profits by $60 million by year-end 2026. We anticipate benefits of approximately $44 million by the end of 2025, including $14 million from planned capacity reductions and approximately $30 million from planned SG&amp;A cost reductions. The planned decreases will be partially offset by an anticipated $20 million increase in advertising costs in our Deckorators business unit to build our Surestone brand. In 2026, we believe the closure of our Bonner, MT facilities and shift of production to other facilities will increase our operating profits by approximately $16 million.</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prospects:</w:t>
      </w:r>
    </w:p>
    <w:p>
      <w:pPr>
        <w:spacing w:after="0" w:line="117" w:lineRule="exact"/>
        <w:rPr>
          <w:sz w:val="20"/>
          <w:szCs w:val="20"/>
          <w:color w:val="auto"/>
        </w:rPr>
      </w:pPr>
    </w:p>
    <w:p>
      <w:pPr>
        <w:ind w:left="720" w:right="179" w:hanging="319"/>
        <w:spacing w:after="0" w:line="273" w:lineRule="auto"/>
        <w:tabs>
          <w:tab w:leader="none" w:pos="7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Lumber prices, which impact our cost of goods sold and selling prices, have normalized due to additional capacity added by sawmills and demand falling from peak levels. We anticipate lumber prices will remain near current levels, and experience more typical seasonal trends, until there is a substantial change in the balance of supply and demand. In the event higher duties on Canadian softwood lumber and new tariffs are enacted on imports generally, we anticipate lumber prices may increase over time. We believe we are currently in a strong position to adapt quickly to duties and tariffs without a material adverse financial impact after a short adjustment period. However, a widespread increase in tariffs may adversely impact demand in the markets we serve.</w:t>
      </w:r>
    </w:p>
    <w:p>
      <w:pPr>
        <w:spacing w:after="0" w:line="63" w:lineRule="exact"/>
        <w:rPr>
          <w:rFonts w:ascii="Times New Roman" w:cs="Times New Roman" w:eastAsia="Times New Roman" w:hAnsi="Times New Roman"/>
          <w:sz w:val="17"/>
          <w:szCs w:val="17"/>
          <w:color w:val="auto"/>
        </w:rPr>
      </w:pPr>
    </w:p>
    <w:p>
      <w:pPr>
        <w:jc w:val="both"/>
        <w:ind w:left="720" w:right="11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40% of our net sales for the first nine months of 2025. When evaluating future demand for the segment, we analyze data such as the same-store sales growth of national home improvement retailers and forecasts of home remodeling activity. Based on this data, we currently anticipate market demand to be down low single digits for the remainder of 2025.</w:t>
      </w:r>
    </w:p>
    <w:p>
      <w:pPr>
        <w:spacing w:after="0" w:line="71"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25% of our net sales for the first nine months of 2025. When evaluating future demand, we consider a number of metrics, including the Purchasing Managers Index (PMI), durable goods manufacturing, and U.S. real GDP. We currently believe overall demand in the markets we serve to be down low single digits for the remainder of 2025.</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31% of our net sales for the first nine months of 2025.</w:t>
      </w:r>
    </w:p>
    <w:p>
      <w:pPr>
        <w:spacing w:after="0" w:line="117" w:lineRule="exact"/>
        <w:rPr>
          <w:rFonts w:ascii="Times New Roman" w:cs="Times New Roman" w:eastAsia="Times New Roman" w:hAnsi="Times New Roman"/>
          <w:sz w:val="18"/>
          <w:szCs w:val="18"/>
          <w:color w:val="auto"/>
        </w:rPr>
      </w:pPr>
    </w:p>
    <w:p>
      <w:pPr>
        <w:ind w:left="1380" w:right="99" w:hanging="331"/>
        <w:spacing w:after="0" w:line="256" w:lineRule="auto"/>
        <w:tabs>
          <w:tab w:leader="none" w:pos="13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11% of our net sales for the first nine months of 2025. Approximately one-third of site-built customers are multifamily builders. The industry consensus estimate of national housing starts for 2025 is 1.36 million, with estimates generally predicting flat to mid-single digit negative growth in the coming year with multi-family generally showing stronger performance compared to single-family. We anticipate demand in the regions we operate to be down mid single digits for the remainder of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1380" w:right="119" w:hanging="331"/>
        <w:spacing w:after="0" w:line="266"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13% of our net sales for the first nine months of 2025. When evaluating future demand, we analyze data from production and shipments of manufactured housing. We currently believe overall demand will be flat for the remainder of 2025.</w:t>
      </w:r>
    </w:p>
    <w:p>
      <w:pPr>
        <w:spacing w:after="0" w:line="67" w:lineRule="exact"/>
        <w:rPr>
          <w:rFonts w:ascii="Times New Roman" w:cs="Times New Roman" w:eastAsia="Times New Roman" w:hAnsi="Times New Roman"/>
          <w:sz w:val="18"/>
          <w:szCs w:val="18"/>
          <w:color w:val="auto"/>
        </w:rPr>
      </w:pPr>
    </w:p>
    <w:p>
      <w:pPr>
        <w:ind w:left="1380" w:right="139" w:hanging="331"/>
        <w:spacing w:after="0" w:line="261"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7% of our net sales for the first nine months of 2025. When evaluating future demand, we analyze data from non-residential construction spending. We anticipate modest growth in overall demand of these business units for the remainder of 2025.</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68" w:lineRule="exact"/>
        <w:rPr>
          <w:sz w:val="20"/>
          <w:szCs w:val="20"/>
          <w:color w:val="auto"/>
        </w:rPr>
      </w:pPr>
    </w:p>
    <w:p>
      <w:pPr>
        <w:ind w:left="720" w:right="19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our board approved a quarterly cash dividend of $0.35 per share, which represents a 6% year over year increase. This dividend is payable on December 15, 2025, to shareholders of record on December 1, 2025.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our board authorized the repurchase of up to $300 million worth of our shares through July 31, 2026. This share authorization supersedes and replaces our prior share repurchase authorizations. Our objective is to repurchase our stock at sufficient amounts to offset issuances under our share-based compensation plans. In addition, we will opportunistically buy shares when the price trades at pre-determined levels we believe is at a significant discount to intrinsic value. Through November 4, 2025, we have approximately $196 million of remaining availability under this authorization.</w:t>
      </w:r>
    </w:p>
    <w:p>
      <w:pPr>
        <w:spacing w:after="0" w:line="79"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2025 is $275-$300 million, which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take advantage of automation opportunities, and drive strategies that have strong long-term growth potential for new and value-added products. Approximately $248 million in capital projects have been approved so far in 2025 and another $63 million are pending approval.</w:t>
      </w:r>
    </w:p>
    <w:p>
      <w:pPr>
        <w:spacing w:after="0" w:line="79"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58"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September 27, 2025,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28,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right="119" w:hanging="317"/>
        <w:spacing w:after="0" w:line="25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annual retainer payable to each of our non-employee directors (such portion for each director is $135,000 for 2025) is paid in shares of our common stock. The retainer is deemed earned in equal quarterly installments on February 1, May 1, August 1, and November 1. We use the market price per share on each such installment date (or the preceding day if there were no trades on that installment date) to determine the number of shares issuable to each non-employee director, and except as described below, the shares are issued to the director within five business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 maintain a Director Compensation Plan (the “Plan”) pursuant to which non-employee directors can elect to</w:t>
      </w:r>
    </w:p>
    <w:p>
      <w:pPr>
        <w:spacing w:after="0" w:line="27" w:lineRule="exact"/>
        <w:rPr>
          <w:sz w:val="20"/>
          <w:szCs w:val="20"/>
          <w:color w:val="auto"/>
        </w:rPr>
      </w:pPr>
    </w:p>
    <w:p>
      <w:pPr>
        <w:ind w:left="860" w:right="59" w:firstLine="7"/>
        <w:spacing w:after="0" w:line="251" w:lineRule="auto"/>
        <w:tabs>
          <w:tab w:leader="none" w:pos="11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shares of our common stock, on a deferred basis, in lieu of all or a portion of the annual retainer payable to the director in cash (which deferred cash is used to purchase our common stock on a deferred basis at the rate of 110% of the deferred cash amount),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spacing w:after="0" w:line="193" w:lineRule="exact"/>
        <w:rPr>
          <w:sz w:val="20"/>
          <w:szCs w:val="20"/>
          <w:color w:val="auto"/>
        </w:rPr>
      </w:pPr>
    </w:p>
    <w:p>
      <w:pPr>
        <w:ind w:left="860" w:right="79"/>
        <w:spacing w:after="0" w:line="258" w:lineRule="auto"/>
        <w:rPr>
          <w:sz w:val="20"/>
          <w:szCs w:val="20"/>
          <w:color w:val="auto"/>
        </w:rPr>
      </w:pPr>
      <w:r>
        <w:rPr>
          <w:rFonts w:ascii="Times New Roman" w:cs="Times New Roman" w:eastAsia="Times New Roman" w:hAnsi="Times New Roman"/>
          <w:sz w:val="18"/>
          <w:szCs w:val="18"/>
          <w:color w:val="auto"/>
        </w:rPr>
        <w:t>On August 1, 2025, the Company issued 1,038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4(2) of the Securities Act of 1933 due to the fact that the issuance of the shares was made on a private basis pursuant to the Plan.</w:t>
      </w:r>
    </w:p>
    <w:p>
      <w:pPr>
        <w:spacing w:after="0" w:line="183" w:lineRule="exact"/>
        <w:rPr>
          <w:sz w:val="20"/>
          <w:szCs w:val="20"/>
          <w:color w:val="auto"/>
        </w:rPr>
      </w:pPr>
    </w:p>
    <w:p>
      <w:pPr>
        <w:ind w:left="880" w:hanging="31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425"/>
        </w:trPr>
        <w:tc>
          <w:tcPr>
            <w:tcW w:w="5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 August 2,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171,562</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$ 99.78</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171,562</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$ 289,995,223</w:t>
            </w: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August</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3 - 30, 2025</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289,995,223</w:t>
            </w:r>
          </w:p>
        </w:tc>
      </w:tr>
      <w:tr>
        <w:trPr>
          <w:trHeight w:val="432"/>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August</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September 27, 2025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278,038,203</w:t>
            </w:r>
          </w:p>
        </w:tc>
      </w:tr>
    </w:tbl>
    <w:p>
      <w:pPr>
        <w:spacing w:after="0" w:line="112" w:lineRule="exact"/>
        <w:rPr>
          <w:sz w:val="20"/>
          <w:szCs w:val="20"/>
          <w:color w:val="auto"/>
        </w:rPr>
      </w:pPr>
    </w:p>
    <w:p>
      <w:pPr>
        <w:ind w:left="60" w:right="219"/>
        <w:spacing w:after="0" w:line="241" w:lineRule="auto"/>
        <w:rPr>
          <w:sz w:val="20"/>
          <w:szCs w:val="20"/>
          <w:color w:val="auto"/>
        </w:rPr>
      </w:pPr>
      <w:r>
        <w:rPr>
          <w:rFonts w:ascii="Times New Roman" w:cs="Times New Roman" w:eastAsia="Times New Roman" w:hAnsi="Times New Roman"/>
          <w:sz w:val="14"/>
          <w:szCs w:val="14"/>
          <w:color w:val="auto"/>
        </w:rPr>
        <w:t>Note: July includes 216 shares tendered by certain employees of the Company (and repurchased by the Company) in order to satisfy their respective tax withholding obligations resulting from the vesting of restricted stock awards. The Company treats these share repurchases against its board-approved share repurchase authorizations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1"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 total of 71,346 shares reported as repurchased between June 29, 2025 and July 22, 2025 in the table above were repurchased pursuant to the share repurchase authorization approved by our board on July 24, 2024 and announced July 30, 2024, which authorized the purchase of up to $200 million of outstanding stock through July 31, 2025. This share repurchase authorization was subsequently increased by the board on April 23, 2025, from $200 million to $300 million worth of outstanding stock. The balance of the shares reported in the table above were purchased pursuant to the new share repurchase authorization approved by our board and announced on July 23, 2025, which authorizes the repurchase of up to $300 million worth of our shares through July 31, 2026, and supersedes and replaces all prior authorizations.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During the quarter ended September 27, 2025,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2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40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19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17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20" w:type="dxa"/>
            <w:vAlign w:val="bottom"/>
            <w:gridSpan w:val="2"/>
          </w:tcPr>
          <w:p>
            <w:pPr>
              <w:ind w:left="1200"/>
              <w:spacing w:after="0" w:line="178"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1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9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19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17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98"/>
        </w:trPr>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20" w:type="dxa"/>
            <w:vAlign w:val="bottom"/>
            <w:gridSpan w:val="2"/>
          </w:tcPr>
          <w:p>
            <w:pPr>
              <w:ind w:left="1200"/>
              <w:spacing w:after="0" w:line="198" w:lineRule="exact"/>
              <w:rPr>
                <w:sz w:val="20"/>
                <w:szCs w:val="20"/>
                <w:color w:val="auto"/>
              </w:rPr>
            </w:pPr>
            <w:r>
              <w:rPr>
                <w:rFonts w:ascii="Times New Roman" w:cs="Times New Roman" w:eastAsia="Times New Roman" w:hAnsi="Times New Roman"/>
                <w:sz w:val="18"/>
                <w:szCs w:val="18"/>
                <w:color w:val="auto"/>
              </w:rPr>
              <w:t>Michael R. Cole,</w:t>
            </w:r>
          </w:p>
        </w:tc>
      </w:tr>
    </w:tbl>
    <w:p>
      <w:pPr>
        <w:ind w:left="4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225" w:lineRule="exact"/>
        <w:rPr>
          <w:sz w:val="20"/>
          <w:szCs w:val="20"/>
          <w:color w:val="auto"/>
        </w:rPr>
      </w:pPr>
    </w:p>
    <w:p>
      <w:pPr>
        <w:ind w:left="540" w:hanging="490"/>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5,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and Principal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27,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27, 2025,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27,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27, 2025,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1"/>
    </w:lvl>
  </w:abstractNum>
  <w:abstractNum w:abstractNumId="3">
    <w:nsid w:val="4353D0CD"/>
    <w:multiLevelType w:val="hybridMultilevel"/>
    <w:lvl w:ilvl="0">
      <w:lvlJc w:val="left"/>
      <w:lvlText w:val="(%1)"/>
      <w:numFmt w:val="lowerRoman"/>
      <w:start w:val="1"/>
    </w:lvl>
  </w:abstractNum>
  <w:abstractNum w:abstractNumId="4">
    <w:nsid w:val="B03E0C6"/>
    <w:multiLevelType w:val="hybridMultilevel"/>
    <w:lvl w:ilvl="0">
      <w:lvlJc w:val="left"/>
      <w:lvlText w:val="%1."/>
      <w:numFmt w:val="upperLetter"/>
      <w:start w:val="2"/>
    </w:lvl>
  </w:abstractNum>
  <w:abstractNum w:abstractNumId="5">
    <w:nsid w:val="189A769B"/>
    <w:multiLevelType w:val="hybridMultilevel"/>
    <w:lvl w:ilvl="0">
      <w:lvlJc w:val="left"/>
      <w:lvlText w:val="%1."/>
      <w:numFmt w:val="upperLetter"/>
      <w:start w:val="3"/>
    </w:lvl>
  </w:abstractNum>
  <w:abstractNum w:abstractNumId="6">
    <w:nsid w:val="54E49EB4"/>
    <w:multiLevelType w:val="hybridMultilevel"/>
    <w:lvl w:ilvl="0">
      <w:lvlJc w:val="left"/>
      <w:lvlText w:val="%1."/>
      <w:numFmt w:val="upperLetter"/>
      <w:start w:val="4"/>
    </w:lvl>
  </w:abstractNum>
  <w:abstractNum w:abstractNumId="7">
    <w:nsid w:val="71F32454"/>
    <w:multiLevelType w:val="hybridMultilevel"/>
    <w:lvl w:ilvl="0">
      <w:lvlJc w:val="left"/>
      <w:lvlText w:val="%1."/>
      <w:numFmt w:val="upperLetter"/>
      <w:start w:val="5"/>
    </w:lvl>
  </w:abstractNum>
  <w:abstractNum w:abstractNumId="8">
    <w:nsid w:val="2CA88611"/>
    <w:multiLevelType w:val="hybridMultilevel"/>
    <w:lvl w:ilvl="0">
      <w:lvlJc w:val="left"/>
      <w:lvlText w:val="%1."/>
      <w:numFmt w:val="upperLetter"/>
      <w:start w:val="6"/>
    </w:lvl>
  </w:abstractNum>
  <w:abstractNum w:abstractNumId="9">
    <w:nsid w:val="836C40E"/>
    <w:multiLevelType w:val="hybridMultilevel"/>
    <w:lvl w:ilvl="0">
      <w:lvlJc w:val="left"/>
      <w:lvlText w:val="%1."/>
      <w:numFmt w:val="upperLetter"/>
      <w:start w:val="7"/>
    </w:lvl>
  </w:abstractNum>
  <w:abstractNum w:abstractNumId="10">
    <w:nsid w:val="2901D82"/>
    <w:multiLevelType w:val="hybridMultilevel"/>
    <w:lvl w:ilvl="0">
      <w:lvlJc w:val="left"/>
      <w:lvlText w:val="%1."/>
      <w:numFmt w:val="upperLetter"/>
      <w:start w:val="8"/>
    </w:lvl>
  </w:abstractNum>
  <w:abstractNum w:abstractNumId="11">
    <w:nsid w:val="3A95F874"/>
    <w:multiLevelType w:val="hybridMultilevel"/>
    <w:lvl w:ilvl="0">
      <w:lvlJc w:val="left"/>
      <w:lvlText w:val="%1."/>
      <w:numFmt w:val="upperLetter"/>
      <w:start w:val="9"/>
    </w:lvl>
  </w:abstractNum>
  <w:abstractNum w:abstractNumId="12">
    <w:nsid w:val="8138641"/>
    <w:multiLevelType w:val="hybridMultilevel"/>
    <w:lvl w:ilvl="0">
      <w:lvlJc w:val="left"/>
      <w:lvlText w:val="%1."/>
      <w:numFmt w:val="upperLetter"/>
      <w:start w:val="10"/>
    </w:lvl>
  </w:abstractNum>
  <w:abstractNum w:abstractNumId="13">
    <w:nsid w:val="1E7FF521"/>
    <w:multiLevelType w:val="hybridMultilevel"/>
    <w:lvl w:ilvl="0">
      <w:lvlJc w:val="left"/>
      <w:lvlText w:val="%1."/>
      <w:numFmt w:val="upperLetter"/>
      <w:start w:val="1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lvl w:ilvl="1">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lvl w:ilvl="1">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1"/>
    </w:lvl>
    <w:lvl w:ilvl="1">
      <w:lvlJc w:val="left"/>
      <w:lvlText w:val="(%2)"/>
      <w:numFmt w:val="lowerLetter"/>
      <w:start w:val="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2025-11-05T11:38:29Z</dcterms:created>
  <dcterms:modified xsi:type="dcterms:W3CDTF">2025-11-05T11:38:29Z</dcterms:modified>
</cp:coreProperties>
</file>