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6857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8573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400"/>
            <w:col w:w="8800"/>
          </w:cols>
          <w:pgMar w:left="240" w:top="223" w:right="139" w:bottom="633"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GREENE CHARLES SCOTT</w:t>
        </w:r>
      </w:hyperlink>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320"/>
              <w:spacing w:after="0"/>
              <w:rPr>
                <w:sz w:val="20"/>
                <w:szCs w:val="20"/>
                <w:color w:val="auto"/>
              </w:rPr>
            </w:pPr>
            <w:r>
              <w:rPr>
                <w:rFonts w:ascii="Arial" w:cs="Arial" w:eastAsia="Arial" w:hAnsi="Arial"/>
                <w:sz w:val="13"/>
                <w:szCs w:val="13"/>
                <w:color w:val="auto"/>
              </w:rPr>
              <w:t>(First)</w:t>
            </w:r>
          </w:p>
        </w:tc>
        <w:tc>
          <w:tcPr>
            <w:tcW w:w="148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2801 EAST BELTLINE, 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GRAND</w:t>
            </w:r>
          </w:p>
        </w:tc>
        <w:tc>
          <w:tcPr>
            <w:tcW w:w="1360" w:type="dxa"/>
            <w:vAlign w:val="bottom"/>
            <w:vMerge w:val="restart"/>
          </w:tcPr>
          <w:p>
            <w:pPr>
              <w:ind w:left="320"/>
              <w:spacing w:after="0"/>
              <w:rPr>
                <w:sz w:val="20"/>
                <w:szCs w:val="20"/>
                <w:color w:val="auto"/>
              </w:rPr>
            </w:pPr>
            <w:r>
              <w:rPr>
                <w:rFonts w:ascii="Arial" w:cs="Arial" w:eastAsia="Arial" w:hAnsi="Arial"/>
                <w:sz w:val="17"/>
                <w:szCs w:val="17"/>
                <w:color w:val="0000FF"/>
              </w:rPr>
              <w:t>MI</w:t>
            </w:r>
          </w:p>
        </w:tc>
        <w:tc>
          <w:tcPr>
            <w:tcW w:w="1480" w:type="dxa"/>
            <w:vAlign w:val="bottom"/>
            <w:vMerge w:val="restart"/>
          </w:tcPr>
          <w:p>
            <w:pPr>
              <w:ind w:left="240"/>
              <w:spacing w:after="0"/>
              <w:rPr>
                <w:sz w:val="20"/>
                <w:szCs w:val="20"/>
                <w:color w:val="auto"/>
              </w:rPr>
            </w:pPr>
            <w:r>
              <w:rPr>
                <w:rFonts w:ascii="Arial" w:cs="Arial" w:eastAsia="Arial" w:hAnsi="Arial"/>
                <w:sz w:val="17"/>
                <w:szCs w:val="17"/>
                <w:color w:val="0000FF"/>
              </w:rPr>
              <w:t>49525</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RAPIDS</w:t>
            </w:r>
          </w:p>
        </w:tc>
        <w:tc>
          <w:tcPr>
            <w:tcW w:w="136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320"/>
              <w:spacing w:after="0"/>
              <w:rPr>
                <w:sz w:val="20"/>
                <w:szCs w:val="20"/>
                <w:color w:val="auto"/>
              </w:rPr>
            </w:pPr>
            <w:r>
              <w:rPr>
                <w:rFonts w:ascii="Arial" w:cs="Arial" w:eastAsia="Arial" w:hAnsi="Arial"/>
                <w:sz w:val="13"/>
                <w:szCs w:val="13"/>
                <w:color w:val="auto"/>
              </w:rPr>
              <w:t>(State)</w:t>
            </w:r>
          </w:p>
        </w:tc>
        <w:tc>
          <w:tcPr>
            <w:tcW w:w="148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6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UFPI </w:t>
            </w:r>
            <w:r>
              <w:rPr>
                <w:rFonts w:ascii="Arial" w:cs="Arial" w:eastAsia="Arial" w:hAnsi="Arial"/>
                <w:sz w:val="21"/>
                <w:szCs w:val="21"/>
                <w:color w:val="000000"/>
              </w:rPr>
              <w:t>]</w:t>
            </w: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line="146"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tcPr>
          <w:p>
            <w:pPr>
              <w:ind w:left="260"/>
              <w:spacing w:after="0" w:line="189" w:lineRule="exact"/>
              <w:rPr>
                <w:sz w:val="20"/>
                <w:szCs w:val="20"/>
                <w:color w:val="auto"/>
              </w:rPr>
            </w:pPr>
            <w:r>
              <w:rPr>
                <w:rFonts w:ascii="Arial" w:cs="Arial" w:eastAsia="Arial" w:hAnsi="Arial"/>
                <w:sz w:val="17"/>
                <w:szCs w:val="17"/>
                <w:color w:val="0000FF"/>
              </w:rPr>
              <w:t>President, UFP Eastern Div</w:t>
            </w:r>
          </w:p>
        </w:tc>
        <w:tc>
          <w:tcPr>
            <w:tcW w:w="0" w:type="dxa"/>
            <w:vAlign w:val="bottom"/>
          </w:tcPr>
          <w:p>
            <w:pPr>
              <w:spacing w:after="0"/>
              <w:rPr>
                <w:sz w:val="1"/>
                <w:szCs w:val="1"/>
                <w:color w:val="auto"/>
              </w:rPr>
            </w:pPr>
          </w:p>
        </w:tc>
      </w:tr>
      <w:tr>
        <w:trPr>
          <w:trHeight w:val="217"/>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08/23/2010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 w:type="dxa"/>
            <w:vAlign w:val="bottom"/>
            <w:tcBorders>
              <w:bottom w:val="single" w:sz="8" w:color="2C2C2C"/>
            </w:tcBorders>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4"/>
        </w:trPr>
        <w:tc>
          <w:tcPr>
            <w:tcW w:w="3660" w:type="dxa"/>
            <w:vAlign w:val="bottom"/>
            <w:gridSpan w:val="2"/>
          </w:tcPr>
          <w:p>
            <w:pPr>
              <w:ind w:left="60"/>
              <w:spacing w:after="0" w:line="185" w:lineRule="exact"/>
              <w:rPr>
                <w:sz w:val="20"/>
                <w:szCs w:val="20"/>
                <w:color w:val="auto"/>
              </w:rPr>
            </w:pPr>
            <w:r>
              <w:rPr>
                <w:rFonts w:ascii="Arial" w:cs="Arial" w:eastAsia="Arial" w:hAnsi="Arial"/>
                <w:sz w:val="17"/>
                <w:szCs w:val="17"/>
                <w:color w:val="0000FF"/>
              </w:rPr>
              <w:t>11/02/2010</w:t>
            </w:r>
          </w:p>
        </w:tc>
        <w:tc>
          <w:tcPr>
            <w:tcW w:w="32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00" w:space="100"/>
            <w:col w:w="7520"/>
          </w:cols>
          <w:pgMar w:left="240" w:top="223" w:right="139" w:bottom="6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spacing w:after="0"/>
              <w:rPr>
                <w:sz w:val="13"/>
                <w:szCs w:val="13"/>
                <w:color w:val="auto"/>
              </w:rPr>
            </w:pP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08/23/2010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center"/>
              <w:ind w:right="259"/>
              <w:spacing w:after="0"/>
              <w:rPr>
                <w:sz w:val="20"/>
                <w:szCs w:val="20"/>
                <w:color w:val="auto"/>
              </w:rPr>
            </w:pPr>
            <w:r>
              <w:rPr>
                <w:rFonts w:ascii="Arial" w:cs="Arial" w:eastAsia="Arial" w:hAnsi="Arial"/>
                <w:sz w:val="13"/>
                <w:szCs w:val="13"/>
                <w:color w:val="0000FF"/>
                <w:w w:val="91"/>
              </w:rPr>
              <w:t>J</w:t>
            </w:r>
          </w:p>
        </w:tc>
        <w:tc>
          <w:tcPr>
            <w:tcW w:w="720" w:type="dxa"/>
            <w:vAlign w:val="bottom"/>
          </w:tcPr>
          <w:p>
            <w:pPr>
              <w:jc w:val="right"/>
              <w:ind w:right="13"/>
              <w:spacing w:after="0"/>
              <w:rPr>
                <w:sz w:val="20"/>
                <w:szCs w:val="20"/>
                <w:color w:val="auto"/>
              </w:rPr>
            </w:pPr>
            <w:r>
              <w:rPr>
                <w:rFonts w:ascii="Arial" w:cs="Arial" w:eastAsia="Arial" w:hAnsi="Arial"/>
                <w:sz w:val="17"/>
                <w:szCs w:val="17"/>
                <w:color w:val="0000FF"/>
              </w:rPr>
              <w:t>9,928</w:t>
            </w:r>
          </w:p>
        </w:tc>
        <w:tc>
          <w:tcPr>
            <w:tcW w:w="700" w:type="dxa"/>
            <w:vAlign w:val="bottom"/>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1"/>
                <w:szCs w:val="11"/>
                <w:color w:val="008000"/>
              </w:rPr>
              <w:t>(1)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21,806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11/02/2010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3"/>
              <w:spacing w:after="0"/>
              <w:rPr>
                <w:sz w:val="20"/>
                <w:szCs w:val="20"/>
                <w:color w:val="auto"/>
              </w:rPr>
            </w:pPr>
            <w:r>
              <w:rPr>
                <w:rFonts w:ascii="Arial" w:cs="Arial" w:eastAsia="Arial" w:hAnsi="Arial"/>
                <w:sz w:val="17"/>
                <w:szCs w:val="17"/>
                <w:color w:val="0000FF"/>
              </w:rPr>
              <w:t>2,133</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14.13</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23,939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11/02/2010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right"/>
              <w:ind w:right="13"/>
              <w:spacing w:after="0"/>
              <w:rPr>
                <w:sz w:val="20"/>
                <w:szCs w:val="20"/>
                <w:color w:val="auto"/>
              </w:rPr>
            </w:pPr>
            <w:r>
              <w:rPr>
                <w:rFonts w:ascii="Arial" w:cs="Arial" w:eastAsia="Arial" w:hAnsi="Arial"/>
                <w:sz w:val="17"/>
                <w:szCs w:val="17"/>
                <w:color w:val="0000FF"/>
              </w:rPr>
              <w:t>2,133</w:t>
            </w:r>
          </w:p>
        </w:tc>
        <w:tc>
          <w:tcPr>
            <w:tcW w:w="700" w:type="dxa"/>
            <w:vAlign w:val="bottom"/>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21,806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13,803</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P/S 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359</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Def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9"/>
              </w:rPr>
              <w:t>2,007</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Comp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Interest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40" w:type="dxa"/>
            <w:vAlign w:val="bottom"/>
            <w:gridSpan w:val="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 (Instr.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13"/>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33"/>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Forward</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Pr>
          <w:p>
            <w:pPr>
              <w:ind w:left="60"/>
              <w:spacing w:after="0" w:line="145" w:lineRule="exact"/>
              <w:rPr>
                <w:sz w:val="20"/>
                <w:szCs w:val="20"/>
                <w:color w:val="auto"/>
              </w:rPr>
            </w:pPr>
            <w:r>
              <w:rPr>
                <w:rFonts w:ascii="Arial" w:cs="Arial" w:eastAsia="Arial" w:hAnsi="Arial"/>
                <w:sz w:val="13"/>
                <w:szCs w:val="13"/>
                <w:color w:val="0000FF"/>
              </w:rPr>
              <w:t>Contract</w:t>
            </w: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right"/>
              <w:ind w:right="194"/>
              <w:spacing w:after="0"/>
              <w:rPr>
                <w:sz w:val="20"/>
                <w:szCs w:val="20"/>
                <w:color w:val="auto"/>
              </w:rPr>
            </w:pPr>
            <w:r>
              <w:rPr>
                <w:rFonts w:ascii="Arial" w:cs="Arial" w:eastAsia="Arial" w:hAnsi="Arial"/>
                <w:sz w:val="13"/>
                <w:szCs w:val="13"/>
                <w:color w:val="0000FF"/>
              </w:rPr>
              <w:t>08/23/2010</w:t>
            </w:r>
          </w:p>
        </w:tc>
        <w:tc>
          <w:tcPr>
            <w:tcW w:w="1100" w:type="dxa"/>
            <w:vAlign w:val="bottom"/>
          </w:tcPr>
          <w:p>
            <w:pPr>
              <w:spacing w:after="0"/>
              <w:rPr>
                <w:sz w:val="12"/>
                <w:szCs w:val="12"/>
                <w:color w:val="auto"/>
              </w:rPr>
            </w:pPr>
          </w:p>
        </w:tc>
        <w:tc>
          <w:tcPr>
            <w:tcW w:w="46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Pr>
          <w:p>
            <w:pPr>
              <w:spacing w:after="0"/>
              <w:rPr>
                <w:sz w:val="12"/>
                <w:szCs w:val="12"/>
                <w:color w:val="auto"/>
              </w:rPr>
            </w:pP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9,928</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3"/>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74"/>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(right/obligation</w:t>
            </w: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to sell)</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E'ee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vMerge w:val="restart"/>
          </w:tcPr>
          <w:p>
            <w:pPr>
              <w:jc w:val="right"/>
              <w:ind w:right="34"/>
              <w:spacing w:after="0"/>
              <w:rPr>
                <w:sz w:val="20"/>
                <w:szCs w:val="20"/>
                <w:color w:val="auto"/>
              </w:rPr>
            </w:pPr>
            <w:r>
              <w:rPr>
                <w:rFonts w:ascii="Arial" w:cs="Arial" w:eastAsia="Arial" w:hAnsi="Arial"/>
                <w:sz w:val="17"/>
                <w:szCs w:val="17"/>
                <w:color w:val="0000FF"/>
                <w:w w:val="98"/>
              </w:rPr>
              <w:t>2,133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0000FF"/>
              </w:rPr>
              <w:t>Option (Right</w:t>
            </w:r>
          </w:p>
        </w:tc>
        <w:tc>
          <w:tcPr>
            <w:tcW w:w="80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14.125</w:t>
            </w:r>
          </w:p>
        </w:tc>
        <w:tc>
          <w:tcPr>
            <w:tcW w:w="1100" w:type="dxa"/>
            <w:vAlign w:val="bottom"/>
          </w:tcPr>
          <w:p>
            <w:pPr>
              <w:jc w:val="right"/>
              <w:ind w:right="194"/>
              <w:spacing w:after="0"/>
              <w:rPr>
                <w:sz w:val="20"/>
                <w:szCs w:val="20"/>
                <w:color w:val="auto"/>
              </w:rPr>
            </w:pPr>
            <w:r>
              <w:rPr>
                <w:rFonts w:ascii="Arial" w:cs="Arial" w:eastAsia="Arial" w:hAnsi="Arial"/>
                <w:sz w:val="13"/>
                <w:szCs w:val="13"/>
                <w:color w:val="0000FF"/>
              </w:rPr>
              <w:t>11/02/2010</w:t>
            </w:r>
          </w:p>
        </w:tc>
        <w:tc>
          <w:tcPr>
            <w:tcW w:w="1100" w:type="dxa"/>
            <w:vAlign w:val="bottom"/>
          </w:tcPr>
          <w:p>
            <w:pPr>
              <w:spacing w:after="0"/>
              <w:rPr>
                <w:sz w:val="13"/>
                <w:szCs w:val="13"/>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3"/>
                <w:szCs w:val="13"/>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rPr>
              <w:t>2,133</w:t>
            </w:r>
          </w:p>
        </w:tc>
        <w:tc>
          <w:tcPr>
            <w:tcW w:w="780" w:type="dxa"/>
            <w:vAlign w:val="bottom"/>
          </w:tcPr>
          <w:p>
            <w:pPr>
              <w:ind w:left="80"/>
              <w:spacing w:after="0"/>
              <w:rPr>
                <w:sz w:val="20"/>
                <w:szCs w:val="20"/>
                <w:color w:val="auto"/>
              </w:rPr>
            </w:pPr>
            <w:r>
              <w:rPr>
                <w:rFonts w:ascii="Arial" w:cs="Arial" w:eastAsia="Arial" w:hAnsi="Arial"/>
                <w:sz w:val="13"/>
                <w:szCs w:val="13"/>
                <w:color w:val="0000FF"/>
              </w:rPr>
              <w:t>01/31/2004</w:t>
            </w:r>
          </w:p>
        </w:tc>
        <w:tc>
          <w:tcPr>
            <w:tcW w:w="720" w:type="dxa"/>
            <w:vAlign w:val="bottom"/>
          </w:tcPr>
          <w:p>
            <w:pPr>
              <w:jc w:val="right"/>
              <w:spacing w:after="0"/>
              <w:rPr>
                <w:sz w:val="20"/>
                <w:szCs w:val="20"/>
                <w:color w:val="auto"/>
              </w:rPr>
            </w:pPr>
            <w:r>
              <w:rPr>
                <w:rFonts w:ascii="Arial" w:cs="Arial" w:eastAsia="Arial" w:hAnsi="Arial"/>
                <w:sz w:val="13"/>
                <w:szCs w:val="13"/>
                <w:color w:val="0000FF"/>
                <w:w w:val="98"/>
              </w:rPr>
              <w:t>01/31/2011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3"/>
                <w:szCs w:val="13"/>
                <w:color w:val="auto"/>
              </w:rPr>
            </w:pPr>
          </w:p>
        </w:tc>
        <w:tc>
          <w:tcPr>
            <w:tcW w:w="740" w:type="dxa"/>
            <w:vAlign w:val="bottom"/>
            <w:gridSpan w:val="2"/>
          </w:tcPr>
          <w:p>
            <w:pPr>
              <w:jc w:val="center"/>
              <w:ind w:righ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14.125</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settlement of the Forward Contract referenced in Table II, and the release of any deemed interest in the 9,928 shares delivered in connection with the settlement of the Forward Contract.</w:t>
      </w:r>
    </w:p>
    <w:p>
      <w:pPr>
        <w:spacing w:after="0" w:line="59" w:lineRule="exact"/>
        <w:rPr>
          <w:rFonts w:ascii="Arial" w:cs="Arial" w:eastAsia="Arial" w:hAnsi="Arial"/>
          <w:sz w:val="12"/>
          <w:szCs w:val="12"/>
          <w:color w:val="008000"/>
        </w:rPr>
      </w:pPr>
    </w:p>
    <w:p>
      <w:pPr>
        <w:ind w:left="40" w:right="14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August 23, 2010, Charles Scott Greene settled his obligations under a prepaid variable forward sale contract ("Forward Contract") entered into on August 23, 2005 with Bear Stearns &amp; Co., Inc. ("Bear"). As of that date, Mr. Greene settled his obligations by delivering 9,928 shares of issuer stock, which were previously pledged to Bear.</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-9525</wp:posOffset>
            </wp:positionV>
            <wp:extent cx="1204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Charles</w:t>
      </w:r>
      <w:r>
        <w:rPr>
          <w:sz w:val="20"/>
          <w:szCs w:val="20"/>
          <w:color w:val="auto"/>
        </w:rPr>
        <w:tab/>
      </w:r>
      <w:r>
        <w:rPr>
          <w:rFonts w:ascii="Arial" w:cs="Arial" w:eastAsia="Arial" w:hAnsi="Arial"/>
          <w:sz w:val="15"/>
          <w:szCs w:val="15"/>
          <w:color w:val="0000FF"/>
        </w:rPr>
        <w:t>02/09/2016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1950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Scott Greene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56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6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60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2019-12-24T05:00:12Z</dcterms:created>
  <dcterms:modified xsi:type="dcterms:W3CDTF">2019-12-24T05:00:12Z</dcterms:modified>
</cp:coreProperties>
</file>