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76835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107950</wp:posOffset>
            </wp:positionV>
            <wp:extent cx="127000" cy="127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-411480</wp:posOffset>
            </wp:positionV>
            <wp:extent cx="127000" cy="127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2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5312410</wp:posOffset>
            </wp:positionH>
            <wp:positionV relativeFrom="paragraph">
              <wp:posOffset>-648335</wp:posOffset>
            </wp:positionV>
            <wp:extent cx="59055" cy="661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4040505</wp:posOffset>
            </wp:positionH>
            <wp:positionV relativeFrom="paragraph">
              <wp:posOffset>-648335</wp:posOffset>
            </wp:positionV>
            <wp:extent cx="59055" cy="661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766445</wp:posOffset>
            </wp:positionV>
            <wp:extent cx="6988810" cy="511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11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4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Rhodes Thomas Wayne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12/28/2024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112.19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 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acquired through dividend reinvestment plan.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13131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Thomas Wayne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9018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Rhodes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3308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5" Type="http://schemas.openxmlformats.org/officeDocument/2006/relationships/hyperlink" Target="http://www.sec.gov/cgi-bin/browse-edgar?action=getcompany&amp;CIK=0001548371" TargetMode="External"/><Relationship Id="rId16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2025-02-10T13:06:29Z</dcterms:created>
  <dcterms:modified xsi:type="dcterms:W3CDTF">2025-02-10T13:06:29Z</dcterms:modified>
</cp:coreProperties>
</file>