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5422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42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Tuuk Mary E</w:t>
              </w:r>
            </w:hyperlink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UFP INDUSTRIES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UFPI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2801 EAST BELTLINE NE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5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Indirect (I)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02/01/2023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96.33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18,096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6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jc w:val="center"/>
              <w:ind w:lef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6,390</w:t>
            </w:r>
          </w:p>
        </w:tc>
        <w:tc>
          <w:tcPr>
            <w:tcW w:w="96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jc w:val="center"/>
              <w:ind w:lef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10,000</w:t>
            </w:r>
          </w:p>
        </w:tc>
        <w:tc>
          <w:tcPr>
            <w:tcW w:w="96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0" w:type="dxa"/>
            <w:vAlign w:val="bottom"/>
            <w:gridSpan w:val="1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Includes 1,576 shares previously held in deferred compensation plan which were distributed to the reporting person on February 17, 2022 and are now owned directly.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Katherine L. Karel, Attorney-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02/03/2023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-10160</wp:posOffset>
            </wp:positionV>
            <wp:extent cx="13100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0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Mary Tuuk Kuras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2852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2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03967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2023-02-03T10:55:58Z</dcterms:created>
  <dcterms:modified xsi:type="dcterms:W3CDTF">2023-02-03T10:55:58Z</dcterms:modified>
</cp:coreProperties>
</file>