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374650</wp:posOffset>
            </wp:positionV>
            <wp:extent cx="6497955" cy="857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857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96" w:lineRule="exact"/>
        <w:rPr>
          <w:sz w:val="24"/>
          <w:szCs w:val="24"/>
          <w:color w:val="auto"/>
        </w:rPr>
      </w:pPr>
    </w:p>
    <w:p>
      <w:pPr>
        <w:ind w:left="280" w:hanging="270"/>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June 26, 2021</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39" w:lineRule="exact"/>
        <w:rPr>
          <w:sz w:val="24"/>
          <w:szCs w:val="24"/>
          <w:color w:val="auto"/>
        </w:rPr>
      </w:pPr>
    </w:p>
    <w:p>
      <w:pPr>
        <w:ind w:left="3860" w:right="1280" w:hanging="3850"/>
        <w:spacing w:after="0" w:line="397" w:lineRule="auto"/>
        <w:tabs>
          <w:tab w:leader="none" w:pos="273"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TRANSITION REPORT PURSUANT TO SECTION 13 OR 15(d) OF THE SECURITIES EXCHANGE ACT OF 1934 Commission File Number </w:t>
      </w:r>
      <w:r>
        <w:rPr>
          <w:rFonts w:ascii="Arial" w:cs="Arial" w:eastAsia="Arial" w:hAnsi="Arial"/>
          <w:sz w:val="18"/>
          <w:szCs w:val="18"/>
          <w:u w:val="single" w:color="auto"/>
          <w:color w:val="auto"/>
        </w:rPr>
        <w:t>0-22684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UFP INDUSTRIES,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3" w:lineRule="exact"/>
        <w:rPr>
          <w:sz w:val="24"/>
          <w:szCs w:val="24"/>
          <w:color w:val="auto"/>
        </w:rPr>
      </w:pPr>
    </w:p>
    <w:tbl>
      <w:tblPr>
        <w:tblLayout w:type="fixed"/>
        <w:tblInd w:w="520" w:type="dxa"/>
        <w:tblCellMar>
          <w:top w:w="0" w:type="dxa"/>
          <w:left w:w="0" w:type="dxa"/>
          <w:bottom w:w="0" w:type="dxa"/>
          <w:right w:w="0" w:type="dxa"/>
        </w:tblCellMar>
      </w:tblPr>
      <w:tr>
        <w:trPr>
          <w:trHeight w:val="237"/>
        </w:trPr>
        <w:tc>
          <w:tcPr>
            <w:tcW w:w="5320" w:type="dxa"/>
            <w:vAlign w:val="bottom"/>
            <w:gridSpan w:val="4"/>
          </w:tcPr>
          <w:p>
            <w:pPr>
              <w:jc w:val="center"/>
              <w:ind w:right="1260"/>
              <w:spacing w:after="0"/>
              <w:rPr>
                <w:sz w:val="20"/>
                <w:szCs w:val="20"/>
                <w:color w:val="auto"/>
              </w:rPr>
            </w:pPr>
            <w:r>
              <w:rPr>
                <w:rFonts w:ascii="Arial" w:cs="Arial" w:eastAsia="Arial" w:hAnsi="Arial"/>
                <w:sz w:val="18"/>
                <w:szCs w:val="18"/>
                <w:color w:val="auto"/>
                <w:w w:val="97"/>
              </w:rPr>
              <w:t>Michigan</w:t>
            </w:r>
          </w:p>
        </w:tc>
        <w:tc>
          <w:tcPr>
            <w:tcW w:w="3920" w:type="dxa"/>
            <w:vAlign w:val="bottom"/>
          </w:tcPr>
          <w:p>
            <w:pPr>
              <w:jc w:val="right"/>
              <w:ind w:right="1570"/>
              <w:spacing w:after="0"/>
              <w:rPr>
                <w:sz w:val="20"/>
                <w:szCs w:val="20"/>
                <w:color w:val="auto"/>
              </w:rPr>
            </w:pPr>
            <w:r>
              <w:rPr>
                <w:rFonts w:ascii="Arial" w:cs="Arial" w:eastAsia="Arial" w:hAnsi="Arial"/>
                <w:sz w:val="18"/>
                <w:szCs w:val="18"/>
                <w:color w:val="auto"/>
              </w:rPr>
              <w:t>38-1465835</w:t>
            </w:r>
          </w:p>
        </w:tc>
      </w:tr>
      <w:tr>
        <w:trPr>
          <w:trHeight w:val="202"/>
        </w:trPr>
        <w:tc>
          <w:tcPr>
            <w:tcW w:w="41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 incorporation or</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920" w:type="dxa"/>
            <w:vAlign w:val="bottom"/>
            <w:tcBorders>
              <w:top w:val="single" w:sz="8" w:color="auto"/>
            </w:tcBorders>
          </w:tcPr>
          <w:p>
            <w:pPr>
              <w:jc w:val="center"/>
              <w:ind w:right="210"/>
              <w:spacing w:after="0" w:line="201" w:lineRule="exact"/>
              <w:rPr>
                <w:sz w:val="20"/>
                <w:szCs w:val="20"/>
                <w:color w:val="auto"/>
              </w:rPr>
            </w:pPr>
            <w:r>
              <w:rPr>
                <w:rFonts w:ascii="Arial" w:cs="Arial" w:eastAsia="Arial" w:hAnsi="Arial"/>
                <w:sz w:val="18"/>
                <w:szCs w:val="18"/>
                <w:color w:val="auto"/>
                <w:w w:val="93"/>
              </w:rPr>
              <w:t>(I.R.S. Employer Identification Number)</w:t>
            </w:r>
          </w:p>
        </w:tc>
      </w:tr>
      <w:tr>
        <w:trPr>
          <w:trHeight w:val="230"/>
        </w:trPr>
        <w:tc>
          <w:tcPr>
            <w:tcW w:w="5320" w:type="dxa"/>
            <w:vAlign w:val="bottom"/>
            <w:gridSpan w:val="4"/>
          </w:tcPr>
          <w:p>
            <w:pPr>
              <w:jc w:val="center"/>
              <w:ind w:right="1280"/>
              <w:spacing w:after="0"/>
              <w:rPr>
                <w:sz w:val="20"/>
                <w:szCs w:val="20"/>
                <w:color w:val="auto"/>
              </w:rPr>
            </w:pPr>
            <w:r>
              <w:rPr>
                <w:rFonts w:ascii="Arial" w:cs="Arial" w:eastAsia="Arial" w:hAnsi="Arial"/>
                <w:sz w:val="18"/>
                <w:szCs w:val="18"/>
                <w:color w:val="auto"/>
                <w:w w:val="92"/>
              </w:rPr>
              <w:t>organization)</w:t>
            </w:r>
          </w:p>
        </w:tc>
        <w:tc>
          <w:tcPr>
            <w:tcW w:w="3920" w:type="dxa"/>
            <w:vAlign w:val="bottom"/>
          </w:tcPr>
          <w:p>
            <w:pPr>
              <w:spacing w:after="0"/>
              <w:rPr>
                <w:sz w:val="20"/>
                <w:szCs w:val="20"/>
                <w:color w:val="auto"/>
              </w:rPr>
            </w:pPr>
          </w:p>
        </w:tc>
      </w:tr>
      <w:tr>
        <w:trPr>
          <w:trHeight w:val="439"/>
        </w:trPr>
        <w:tc>
          <w:tcPr>
            <w:tcW w:w="5320" w:type="dxa"/>
            <w:vAlign w:val="bottom"/>
            <w:gridSpan w:val="4"/>
          </w:tcPr>
          <w:p>
            <w:pPr>
              <w:jc w:val="center"/>
              <w:ind w:right="1280"/>
              <w:spacing w:after="0"/>
              <w:rPr>
                <w:sz w:val="20"/>
                <w:szCs w:val="20"/>
                <w:color w:val="auto"/>
              </w:rPr>
            </w:pPr>
            <w:r>
              <w:rPr>
                <w:rFonts w:ascii="Arial" w:cs="Arial" w:eastAsia="Arial" w:hAnsi="Arial"/>
                <w:sz w:val="18"/>
                <w:szCs w:val="18"/>
                <w:color w:val="auto"/>
                <w:w w:val="92"/>
              </w:rPr>
              <w:t>2801 East Beltline NE, Grand Rapids, Michigan</w:t>
            </w:r>
          </w:p>
        </w:tc>
        <w:tc>
          <w:tcPr>
            <w:tcW w:w="3920" w:type="dxa"/>
            <w:vAlign w:val="bottom"/>
          </w:tcPr>
          <w:p>
            <w:pPr>
              <w:jc w:val="right"/>
              <w:ind w:right="1790"/>
              <w:spacing w:after="0"/>
              <w:rPr>
                <w:sz w:val="20"/>
                <w:szCs w:val="20"/>
                <w:color w:val="auto"/>
              </w:rPr>
            </w:pPr>
            <w:r>
              <w:rPr>
                <w:rFonts w:ascii="Arial" w:cs="Arial" w:eastAsia="Arial" w:hAnsi="Arial"/>
                <w:sz w:val="18"/>
                <w:szCs w:val="18"/>
                <w:color w:val="auto"/>
              </w:rPr>
              <w:t>49525</w:t>
            </w:r>
          </w:p>
        </w:tc>
      </w:tr>
      <w:tr>
        <w:trPr>
          <w:trHeight w:val="230"/>
        </w:trPr>
        <w:tc>
          <w:tcPr>
            <w:tcW w:w="4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920" w:type="dxa"/>
            <w:vAlign w:val="bottom"/>
            <w:tcBorders>
              <w:top w:val="single" w:sz="8" w:color="auto"/>
            </w:tcBorders>
          </w:tcPr>
          <w:p>
            <w:pPr>
              <w:jc w:val="center"/>
              <w:ind w:right="190"/>
              <w:spacing w:after="0"/>
              <w:rPr>
                <w:sz w:val="20"/>
                <w:szCs w:val="20"/>
                <w:color w:val="auto"/>
              </w:rPr>
            </w:pPr>
            <w:r>
              <w:rPr>
                <w:rFonts w:ascii="Arial" w:cs="Arial" w:eastAsia="Arial" w:hAnsi="Arial"/>
                <w:sz w:val="18"/>
                <w:szCs w:val="18"/>
                <w:color w:val="auto"/>
                <w:w w:val="94"/>
              </w:rPr>
              <w:t>(Zip Code)</w:t>
            </w:r>
          </w:p>
        </w:tc>
      </w:tr>
      <w:tr>
        <w:trPr>
          <w:trHeight w:val="364"/>
        </w:trPr>
        <w:tc>
          <w:tcPr>
            <w:tcW w:w="5320" w:type="dxa"/>
            <w:vAlign w:val="bottom"/>
            <w:gridSpan w:val="4"/>
          </w:tcPr>
          <w:p>
            <w:pPr>
              <w:ind w:left="460"/>
              <w:spacing w:after="0"/>
              <w:rPr>
                <w:sz w:val="20"/>
                <w:szCs w:val="20"/>
                <w:color w:val="auto"/>
              </w:rPr>
            </w:pPr>
            <w:r>
              <w:rPr>
                <w:rFonts w:ascii="Arial" w:cs="Arial" w:eastAsia="Arial" w:hAnsi="Arial"/>
                <w:sz w:val="18"/>
                <w:szCs w:val="18"/>
                <w:color w:val="auto"/>
                <w:w w:val="89"/>
              </w:rPr>
              <w:t>Registrant’s telephone number, including area code (616) 364-6161</w:t>
            </w:r>
          </w:p>
        </w:tc>
        <w:tc>
          <w:tcPr>
            <w:tcW w:w="3920" w:type="dxa"/>
            <w:vAlign w:val="bottom"/>
          </w:tcPr>
          <w:p>
            <w:pPr>
              <w:spacing w:after="0"/>
              <w:rPr>
                <w:sz w:val="24"/>
                <w:szCs w:val="24"/>
                <w:color w:val="auto"/>
              </w:rPr>
            </w:pPr>
          </w:p>
        </w:tc>
      </w:tr>
      <w:tr>
        <w:trPr>
          <w:trHeight w:val="20"/>
        </w:trPr>
        <w:tc>
          <w:tcPr>
            <w:tcW w:w="4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bl>
    <w:p>
      <w:pPr>
        <w:spacing w:after="0" w:line="229"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14605</wp:posOffset>
            </wp:positionV>
            <wp:extent cx="299148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16"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jc w:val="both"/>
        <w:ind w:left="20" w:right="40"/>
        <w:spacing w:after="0" w:line="227" w:lineRule="exact"/>
        <w:rPr>
          <w:sz w:val="20"/>
          <w:szCs w:val="20"/>
          <w:color w:val="auto"/>
        </w:rPr>
      </w:pPr>
      <w:r>
        <w:rPr>
          <w:rFonts w:ascii="Arial" w:cs="Arial" w:eastAsia="Arial" w:hAnsi="Arial"/>
          <w:sz w:val="18"/>
          <w:szCs w:val="18"/>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76" w:lineRule="exact"/>
        <w:rPr>
          <w:sz w:val="24"/>
          <w:szCs w:val="24"/>
          <w:color w:val="auto"/>
        </w:rPr>
      </w:pPr>
    </w:p>
    <w:p>
      <w:pPr>
        <w:jc w:val="both"/>
        <w:ind w:left="20"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76" w:lineRule="exact"/>
        <w:rPr>
          <w:sz w:val="24"/>
          <w:szCs w:val="24"/>
          <w:color w:val="auto"/>
        </w:rPr>
      </w:pPr>
    </w:p>
    <w:p>
      <w:pPr>
        <w:jc w:val="both"/>
        <w:ind w:left="20" w:right="20"/>
        <w:spacing w:after="0" w:line="263" w:lineRule="auto"/>
        <w:rPr>
          <w:sz w:val="20"/>
          <w:szCs w:val="20"/>
          <w:color w:val="auto"/>
        </w:rPr>
      </w:pPr>
      <w:r>
        <w:rPr>
          <w:rFonts w:ascii="Arial" w:cs="Arial" w:eastAsia="Arial" w:hAnsi="Arial"/>
          <w:sz w:val="18"/>
          <w:szCs w:val="18"/>
          <w:color w:val="auto"/>
        </w:rPr>
        <w:t>Indicate by checkmark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60"/>
          </w:cols>
          <w:pgMar w:left="820" w:top="692" w:right="819" w:bottom="1440" w:gutter="0" w:footer="0" w:header="0"/>
        </w:sectPr>
      </w:pPr>
    </w:p>
    <w:p>
      <w:pPr>
        <w:spacing w:after="0" w:line="56" w:lineRule="exact"/>
        <w:rPr>
          <w:sz w:val="24"/>
          <w:szCs w:val="24"/>
          <w:color w:val="auto"/>
        </w:rPr>
      </w:pPr>
    </w:p>
    <w:p>
      <w:pPr>
        <w:ind w:left="540"/>
        <w:spacing w:after="0" w:line="215" w:lineRule="exact"/>
        <w:rPr>
          <w:sz w:val="20"/>
          <w:szCs w:val="20"/>
          <w:color w:val="auto"/>
        </w:rPr>
      </w:pPr>
      <w:r>
        <w:rPr>
          <w:rFonts w:ascii="Arial" w:cs="Arial" w:eastAsia="Arial" w:hAnsi="Arial"/>
          <w:sz w:val="16"/>
          <w:szCs w:val="16"/>
          <w:color w:val="auto"/>
        </w:rPr>
        <w:t xml:space="preserve">Large Accelerated Filer </w:t>
      </w: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215" w:lineRule="exact"/>
        <w:rPr>
          <w:sz w:val="20"/>
          <w:szCs w:val="20"/>
          <w:color w:val="auto"/>
        </w:rPr>
      </w:pPr>
      <w:r>
        <w:rPr>
          <w:rFonts w:ascii="Arial" w:cs="Arial" w:eastAsia="Arial" w:hAnsi="Arial"/>
          <w:sz w:val="16"/>
          <w:szCs w:val="16"/>
          <w:color w:val="auto"/>
        </w:rPr>
        <w:t xml:space="preserve">Accelerated Filer </w:t>
      </w: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228" w:lineRule="exact"/>
        <w:rPr>
          <w:sz w:val="20"/>
          <w:szCs w:val="20"/>
          <w:color w:val="auto"/>
        </w:rPr>
      </w:pPr>
      <w:r>
        <w:rPr>
          <w:rFonts w:ascii="Arial" w:cs="Arial" w:eastAsia="Arial" w:hAnsi="Arial"/>
          <w:sz w:val="17"/>
          <w:szCs w:val="17"/>
          <w:color w:val="auto"/>
        </w:rPr>
        <w:t xml:space="preserve">Non-Accelerated Filer </w:t>
      </w:r>
      <w:r>
        <w:rPr>
          <w:rFonts w:ascii="Arial Unicode MS" w:cs="Arial Unicode MS" w:eastAsia="Arial Unicode MS" w:hAnsi="Arial Unicode MS"/>
          <w:sz w:val="17"/>
          <w:szCs w:val="17"/>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jc w:val="both"/>
        <w:ind w:right="800"/>
        <w:spacing w:after="0" w:line="250" w:lineRule="exact"/>
        <w:rPr>
          <w:sz w:val="20"/>
          <w:szCs w:val="20"/>
          <w:color w:val="auto"/>
        </w:rPr>
      </w:pPr>
      <w:r>
        <w:rPr>
          <w:rFonts w:ascii="Arial" w:cs="Arial" w:eastAsia="Arial" w:hAnsi="Arial"/>
          <w:sz w:val="16"/>
          <w:szCs w:val="16"/>
          <w:color w:val="auto"/>
        </w:rPr>
        <w:t xml:space="preserve">Smaller Reporting Company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Emerging Growth Company </w:t>
      </w:r>
      <w:r>
        <w:rPr>
          <w:rFonts w:ascii="Arial Unicode MS" w:cs="Arial Unicode MS" w:eastAsia="Arial Unicode MS" w:hAnsi="Arial Unicode MS"/>
          <w:sz w:val="16"/>
          <w:szCs w:val="16"/>
          <w:color w:val="auto"/>
        </w:rPr>
        <w:t>☐</w:t>
      </w:r>
    </w:p>
    <w:p>
      <w:pPr>
        <w:spacing w:after="0" w:line="34" w:lineRule="exact"/>
        <w:rPr>
          <w:sz w:val="24"/>
          <w:szCs w:val="24"/>
          <w:color w:val="auto"/>
        </w:rPr>
      </w:pPr>
    </w:p>
    <w:p>
      <w:pPr>
        <w:sectPr>
          <w:pgSz w:w="11900" w:h="16838" w:orient="portrait"/>
          <w:cols w:equalWidth="0" w:num="4">
            <w:col w:w="2500" w:space="660"/>
            <w:col w:w="1440" w:space="280"/>
            <w:col w:w="1820" w:space="480"/>
            <w:col w:w="3080"/>
          </w:cols>
          <w:pgMar w:left="820" w:top="692" w:right="819" w:bottom="1440" w:gutter="0" w:footer="0" w:header="0"/>
          <w:type w:val="continuous"/>
        </w:sectPr>
      </w:pPr>
    </w:p>
    <w:p>
      <w:pPr>
        <w:ind w:left="20" w:right="2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42" w:lineRule="exact"/>
        <w:rPr>
          <w:sz w:val="24"/>
          <w:szCs w:val="24"/>
          <w:color w:val="auto"/>
        </w:rPr>
      </w:pPr>
    </w:p>
    <w:p>
      <w:pPr>
        <w:ind w:left="20"/>
        <w:spacing w:after="0" w:line="242" w:lineRule="exact"/>
        <w:rPr>
          <w:sz w:val="20"/>
          <w:szCs w:val="20"/>
          <w:color w:val="auto"/>
        </w:rPr>
      </w:pPr>
      <w:r>
        <w:rPr>
          <w:rFonts w:ascii="Arial" w:cs="Arial" w:eastAsia="Arial" w:hAnsi="Arial"/>
          <w:sz w:val="18"/>
          <w:szCs w:val="18"/>
          <w:color w:val="auto"/>
        </w:rPr>
        <w:t xml:space="preserve">Indicate by checkmark whether the registrant is a shell company (as defined by Rule 12b-2 of the Exchange Act).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115" w:lineRule="exact"/>
        <w:rPr>
          <w:sz w:val="24"/>
          <w:szCs w:val="24"/>
          <w:color w:val="auto"/>
        </w:rPr>
      </w:pPr>
    </w:p>
    <w:p>
      <w:pPr>
        <w:ind w:left="2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31" w:lineRule="exact"/>
        <w:rPr>
          <w:sz w:val="24"/>
          <w:szCs w:val="24"/>
          <w:color w:val="auto"/>
        </w:rPr>
      </w:pPr>
    </w:p>
    <w:tbl>
      <w:tblPr>
        <w:tblLayout w:type="fixed"/>
        <w:tblInd w:w="520" w:type="dxa"/>
        <w:tblCellMar>
          <w:top w:w="0" w:type="dxa"/>
          <w:left w:w="0" w:type="dxa"/>
          <w:bottom w:w="0" w:type="dxa"/>
          <w:right w:w="0" w:type="dxa"/>
        </w:tblCellMar>
      </w:tblPr>
      <w:tr>
        <w:trPr>
          <w:trHeight w:val="237"/>
        </w:trPr>
        <w:tc>
          <w:tcPr>
            <w:tcW w:w="5100" w:type="dxa"/>
            <w:vAlign w:val="bottom"/>
            <w:gridSpan w:val="2"/>
          </w:tcPr>
          <w:p>
            <w:pPr>
              <w:jc w:val="center"/>
              <w:ind w:right="1040"/>
              <w:spacing w:after="0"/>
              <w:rPr>
                <w:sz w:val="20"/>
                <w:szCs w:val="20"/>
                <w:color w:val="auto"/>
              </w:rPr>
            </w:pPr>
            <w:r>
              <w:rPr>
                <w:rFonts w:ascii="Arial" w:cs="Arial" w:eastAsia="Arial" w:hAnsi="Arial"/>
                <w:sz w:val="18"/>
                <w:szCs w:val="18"/>
                <w:color w:val="auto"/>
                <w:w w:val="84"/>
              </w:rPr>
              <w:t>Class</w:t>
            </w:r>
          </w:p>
        </w:tc>
        <w:tc>
          <w:tcPr>
            <w:tcW w:w="4140" w:type="dxa"/>
            <w:vAlign w:val="bottom"/>
          </w:tcPr>
          <w:p>
            <w:pPr>
              <w:jc w:val="center"/>
              <w:spacing w:after="0"/>
              <w:rPr>
                <w:sz w:val="20"/>
                <w:szCs w:val="20"/>
                <w:color w:val="auto"/>
              </w:rPr>
            </w:pPr>
            <w:r>
              <w:rPr>
                <w:rFonts w:ascii="Arial" w:cs="Arial" w:eastAsia="Arial" w:hAnsi="Arial"/>
                <w:sz w:val="18"/>
                <w:szCs w:val="18"/>
                <w:color w:val="auto"/>
                <w:w w:val="89"/>
              </w:rPr>
              <w:t>Outstanding as of June 26, 2021</w:t>
            </w:r>
          </w:p>
        </w:tc>
      </w:tr>
      <w:tr>
        <w:trPr>
          <w:trHeight w:val="230"/>
        </w:trPr>
        <w:tc>
          <w:tcPr>
            <w:tcW w:w="4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$1 par value</w:t>
            </w:r>
          </w:p>
        </w:tc>
        <w:tc>
          <w:tcPr>
            <w:tcW w:w="980" w:type="dxa"/>
            <w:vAlign w:val="bottom"/>
          </w:tcPr>
          <w:p>
            <w:pPr>
              <w:spacing w:after="0"/>
              <w:rPr>
                <w:sz w:val="20"/>
                <w:szCs w:val="20"/>
                <w:color w:val="auto"/>
              </w:rPr>
            </w:pPr>
          </w:p>
        </w:tc>
        <w:tc>
          <w:tcPr>
            <w:tcW w:w="4140" w:type="dxa"/>
            <w:vAlign w:val="bottom"/>
            <w:tcBorders>
              <w:top w:val="single" w:sz="8" w:color="auto"/>
            </w:tcBorders>
          </w:tcPr>
          <w:p>
            <w:pPr>
              <w:jc w:val="right"/>
              <w:ind w:right="1610"/>
              <w:spacing w:after="0"/>
              <w:rPr>
                <w:sz w:val="20"/>
                <w:szCs w:val="20"/>
                <w:color w:val="auto"/>
              </w:rPr>
            </w:pPr>
            <w:r>
              <w:rPr>
                <w:rFonts w:ascii="Arial" w:cs="Arial" w:eastAsia="Arial" w:hAnsi="Arial"/>
                <w:sz w:val="18"/>
                <w:szCs w:val="18"/>
                <w:color w:val="auto"/>
              </w:rPr>
              <w:t>61,850,733</w:t>
            </w:r>
          </w:p>
        </w:tc>
      </w:tr>
    </w:tbl>
    <w:p>
      <w:pPr>
        <w:spacing w:after="0" w:line="12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28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Title of Each Class</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Trading Symbol</w:t>
            </w:r>
          </w:p>
        </w:tc>
        <w:tc>
          <w:tcPr>
            <w:tcW w:w="5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Name of Each Exchange On Which Registered</w:t>
            </w:r>
          </w:p>
        </w:tc>
      </w:tr>
      <w:tr>
        <w:trPr>
          <w:trHeight w:val="216"/>
        </w:trPr>
        <w:tc>
          <w:tcPr>
            <w:tcW w:w="20" w:type="dxa"/>
            <w:vAlign w:val="bottom"/>
            <w:tcBorders>
              <w:bottom w:val="single" w:sz="8" w:color="auto"/>
            </w:tcBorders>
            <w:shd w:val="clear" w:color="auto" w:fill="000000"/>
          </w:tcPr>
          <w:p>
            <w:pPr>
              <w:spacing w:after="0"/>
              <w:rPr>
                <w:sz w:val="18"/>
                <w:szCs w:val="18"/>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no par value</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UFPI</w:t>
            </w:r>
          </w:p>
        </w:tc>
        <w:tc>
          <w:tcPr>
            <w:tcW w:w="5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149"/>
        </w:trPr>
        <w:tc>
          <w:tcPr>
            <w:tcW w:w="20" w:type="dxa"/>
            <w:vAlign w:val="bottom"/>
          </w:tcPr>
          <w:p>
            <w:pPr>
              <w:spacing w:after="0"/>
              <w:rPr>
                <w:sz w:val="12"/>
                <w:szCs w:val="12"/>
                <w:color w:val="auto"/>
              </w:rPr>
            </w:pPr>
          </w:p>
        </w:tc>
        <w:tc>
          <w:tcPr>
            <w:tcW w:w="286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tcPr>
          <w:p>
            <w:pPr>
              <w:spacing w:after="0"/>
              <w:rPr>
                <w:sz w:val="12"/>
                <w:szCs w:val="12"/>
                <w:color w:val="auto"/>
              </w:rPr>
            </w:pPr>
          </w:p>
        </w:tc>
        <w:tc>
          <w:tcPr>
            <w:tcW w:w="5260" w:type="dxa"/>
            <w:vAlign w:val="bottom"/>
            <w:tcBorders>
              <w:bottom w:val="single" w:sz="8" w:color="auto"/>
            </w:tcBorders>
          </w:tcPr>
          <w:p>
            <w:pPr>
              <w:spacing w:after="0"/>
              <w:rPr>
                <w:sz w:val="12"/>
                <w:szCs w:val="12"/>
                <w:color w:val="auto"/>
              </w:rPr>
            </w:pPr>
          </w:p>
        </w:tc>
      </w:tr>
      <w:tr>
        <w:trPr>
          <w:trHeight w:val="95"/>
        </w:trPr>
        <w:tc>
          <w:tcPr>
            <w:tcW w:w="20" w:type="dxa"/>
            <w:vAlign w:val="bottom"/>
          </w:tcPr>
          <w:p>
            <w:pPr>
              <w:spacing w:after="0"/>
              <w:rPr>
                <w:sz w:val="8"/>
                <w:szCs w:val="8"/>
                <w:color w:val="auto"/>
              </w:rPr>
            </w:pPr>
          </w:p>
        </w:tc>
        <w:tc>
          <w:tcPr>
            <w:tcW w:w="2860" w:type="dxa"/>
            <w:vAlign w:val="bottom"/>
            <w:tcBorders>
              <w:left w:val="single" w:sz="8" w:color="auto"/>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5260" w:type="dxa"/>
            <w:vAlign w:val="bottom"/>
            <w:tcBorders>
              <w:bottom w:val="single" w:sz="8" w:color="auto"/>
              <w:right w:val="single" w:sz="8" w:color="auto"/>
            </w:tcBorders>
          </w:tcPr>
          <w:p>
            <w:pPr>
              <w:spacing w:after="0"/>
              <w:rPr>
                <w:sz w:val="8"/>
                <w:szCs w:val="8"/>
                <w:color w:val="auto"/>
              </w:rPr>
            </w:pPr>
          </w:p>
        </w:tc>
      </w:tr>
      <w:tr>
        <w:trPr>
          <w:trHeight w:val="574"/>
        </w:trPr>
        <w:tc>
          <w:tcPr>
            <w:tcW w:w="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0260"/>
          </w:cols>
          <w:pgMar w:left="820" w:top="692" w:right="819" w:bottom="144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580" w:type="dxa"/>
            <w:vAlign w:val="bottom"/>
            <w:gridSpan w:val="6"/>
          </w:tcPr>
          <w:p>
            <w:pPr>
              <w:ind w:left="20"/>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790"/>
        </w:trPr>
        <w:tc>
          <w:tcPr>
            <w:tcW w:w="2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780" w:type="dxa"/>
            <w:vAlign w:val="bottom"/>
            <w:gridSpan w:val="11"/>
          </w:tcPr>
          <w:p>
            <w:pPr>
              <w:ind w:left="120"/>
              <w:spacing w:after="0"/>
              <w:rPr>
                <w:sz w:val="20"/>
                <w:szCs w:val="20"/>
                <w:color w:val="auto"/>
              </w:rPr>
            </w:pPr>
            <w:r>
              <w:rPr>
                <w:rFonts w:ascii="Arial" w:cs="Arial" w:eastAsia="Arial" w:hAnsi="Arial"/>
                <w:sz w:val="18"/>
                <w:szCs w:val="18"/>
                <w:b w:val="1"/>
                <w:bCs w:val="1"/>
                <w:color w:val="auto"/>
              </w:rPr>
              <w:t>UFP INDUSTRIES, INC.</w:t>
            </w:r>
          </w:p>
        </w:tc>
        <w:tc>
          <w:tcPr>
            <w:tcW w:w="7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780" w:type="dxa"/>
            <w:vAlign w:val="bottom"/>
            <w:gridSpan w:val="11"/>
          </w:tcPr>
          <w:p>
            <w:pPr>
              <w:ind w:left="140"/>
              <w:spacing w:after="0"/>
              <w:rPr>
                <w:sz w:val="20"/>
                <w:szCs w:val="20"/>
                <w:color w:val="auto"/>
              </w:rPr>
            </w:pPr>
            <w:r>
              <w:rPr>
                <w:rFonts w:ascii="Arial" w:cs="Arial" w:eastAsia="Arial" w:hAnsi="Arial"/>
                <w:sz w:val="18"/>
                <w:szCs w:val="18"/>
                <w:b w:val="1"/>
                <w:bCs w:val="1"/>
                <w:color w:val="auto"/>
              </w:rPr>
              <w:t>TABLE OF CONTENTS</w:t>
            </w:r>
          </w:p>
        </w:tc>
        <w:tc>
          <w:tcPr>
            <w:tcW w:w="760" w:type="dxa"/>
            <w:vAlign w:val="bottom"/>
          </w:tcPr>
          <w:p>
            <w:pPr>
              <w:spacing w:after="0"/>
              <w:rPr>
                <w:sz w:val="24"/>
                <w:szCs w:val="24"/>
                <w:color w:val="auto"/>
              </w:rPr>
            </w:pPr>
          </w:p>
        </w:tc>
      </w:tr>
      <w:tr>
        <w:trPr>
          <w:trHeight w:val="452"/>
        </w:trPr>
        <w:tc>
          <w:tcPr>
            <w:tcW w:w="1580" w:type="dxa"/>
            <w:vAlign w:val="bottom"/>
            <w:gridSpan w:val="6"/>
          </w:tcPr>
          <w:p>
            <w:pPr>
              <w:ind w:left="20"/>
              <w:spacing w:after="0"/>
              <w:rPr>
                <w:sz w:val="20"/>
                <w:szCs w:val="20"/>
                <w:color w:val="auto"/>
              </w:rPr>
            </w:pPr>
            <w:r>
              <w:rPr>
                <w:rFonts w:ascii="Arial" w:cs="Arial" w:eastAsia="Arial" w:hAnsi="Arial"/>
                <w:sz w:val="18"/>
                <w:szCs w:val="18"/>
                <w:b w:val="1"/>
                <w:bCs w:val="1"/>
                <w:color w:val="auto"/>
              </w:rPr>
              <w:t>PART I.</w:t>
            </w:r>
          </w:p>
        </w:tc>
        <w:tc>
          <w:tcPr>
            <w:tcW w:w="6560" w:type="dxa"/>
            <w:vAlign w:val="bottom"/>
            <w:gridSpan w:val="16"/>
          </w:tcPr>
          <w:p>
            <w:pPr>
              <w:ind w:left="20"/>
              <w:spacing w:after="0"/>
              <w:rPr>
                <w:sz w:val="20"/>
                <w:szCs w:val="20"/>
                <w:color w:val="auto"/>
              </w:rPr>
            </w:pPr>
            <w:r>
              <w:rPr>
                <w:rFonts w:ascii="Arial" w:cs="Arial" w:eastAsia="Arial" w:hAnsi="Arial"/>
                <w:sz w:val="18"/>
                <w:szCs w:val="18"/>
                <w:b w:val="1"/>
                <w:bCs w:val="1"/>
                <w:color w:val="auto"/>
              </w:rPr>
              <w:t>FINANCIAL INFORMATION.</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Page No.</w:t>
            </w:r>
          </w:p>
        </w:tc>
      </w:tr>
      <w:tr>
        <w:trPr>
          <w:trHeight w:val="432"/>
        </w:trPr>
        <w:tc>
          <w:tcPr>
            <w:tcW w:w="20" w:type="dxa"/>
            <w:vAlign w:val="bottom"/>
          </w:tcPr>
          <w:p>
            <w:pPr>
              <w:spacing w:after="0"/>
              <w:rPr>
                <w:sz w:val="24"/>
                <w:szCs w:val="24"/>
                <w:color w:val="auto"/>
              </w:rPr>
            </w:pPr>
          </w:p>
        </w:tc>
        <w:tc>
          <w:tcPr>
            <w:tcW w:w="1560" w:type="dxa"/>
            <w:vAlign w:val="bottom"/>
            <w:gridSpan w:val="5"/>
          </w:tcPr>
          <w:p>
            <w:pPr>
              <w:ind w:left="820"/>
              <w:spacing w:after="0"/>
              <w:rPr>
                <w:sz w:val="20"/>
                <w:szCs w:val="20"/>
                <w:color w:val="auto"/>
              </w:rPr>
            </w:pPr>
            <w:r>
              <w:rPr>
                <w:rFonts w:ascii="Arial" w:cs="Arial" w:eastAsia="Arial" w:hAnsi="Arial"/>
                <w:sz w:val="18"/>
                <w:szCs w:val="18"/>
                <w:color w:val="auto"/>
              </w:rPr>
              <w:t>Item 1.</w:t>
            </w:r>
          </w:p>
        </w:tc>
        <w:tc>
          <w:tcPr>
            <w:tcW w:w="6560" w:type="dxa"/>
            <w:vAlign w:val="bottom"/>
            <w:gridSpan w:val="16"/>
          </w:tcPr>
          <w:p>
            <w:pPr>
              <w:ind w:left="20"/>
              <w:spacing w:after="0"/>
              <w:rPr>
                <w:sz w:val="20"/>
                <w:szCs w:val="20"/>
                <w:color w:val="auto"/>
              </w:rPr>
            </w:pPr>
            <w:r>
              <w:rPr>
                <w:rFonts w:ascii="Arial" w:cs="Arial" w:eastAsia="Arial" w:hAnsi="Arial"/>
                <w:sz w:val="18"/>
                <w:szCs w:val="18"/>
                <w:color w:val="auto"/>
              </w:rPr>
              <w:t>Financial Statements</w:t>
            </w:r>
          </w:p>
        </w:tc>
        <w:tc>
          <w:tcPr>
            <w:tcW w:w="7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75"/>
        </w:trPr>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560" w:type="dxa"/>
            <w:vAlign w:val="bottom"/>
            <w:gridSpan w:val="16"/>
            <w:shd w:val="clear" w:color="auto" w:fill="CCEEFF"/>
          </w:tcPr>
          <w:p>
            <w:pPr>
              <w:ind w:left="20"/>
              <w:spacing w:after="0" w:line="17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Condensed Consolidated Balance Sheets at June 26, 2021, December 26, 2020 and June</w:t>
              </w:r>
            </w:hyperlink>
          </w:p>
        </w:tc>
        <w:tc>
          <w:tcPr>
            <w:tcW w:w="760" w:type="dxa"/>
            <w:vAlign w:val="bottom"/>
            <w:shd w:val="clear" w:color="auto" w:fill="CCEEFF"/>
          </w:tcPr>
          <w:p>
            <w:pPr>
              <w:spacing w:after="0"/>
              <w:rPr>
                <w:sz w:val="15"/>
                <w:szCs w:val="15"/>
                <w:color w:val="auto"/>
              </w:rPr>
            </w:pP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0000EE"/>
            </w:tcBorders>
            <w:gridSpan w:val="3"/>
            <w:shd w:val="clear" w:color="auto" w:fill="CCEEFF"/>
          </w:tcPr>
          <w:p>
            <w:pPr>
              <w:ind w:left="20"/>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27, 2020</w:t>
              </w:r>
            </w:hyperlink>
          </w:p>
        </w:tc>
        <w:tc>
          <w:tcPr>
            <w:tcW w:w="16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1460" w:type="dxa"/>
            <w:vAlign w:val="bottom"/>
            <w:tcBorders>
              <w:top w:val="single" w:sz="8" w:color="0000EE"/>
            </w:tcBorders>
            <w:shd w:val="clear" w:color="auto" w:fill="CCEEFF"/>
          </w:tcPr>
          <w:p>
            <w:pPr>
              <w:spacing w:after="0"/>
              <w:rPr>
                <w:sz w:val="18"/>
                <w:szCs w:val="18"/>
                <w:color w:val="auto"/>
              </w:rPr>
            </w:pPr>
          </w:p>
        </w:tc>
        <w:tc>
          <w:tcPr>
            <w:tcW w:w="86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280" w:type="dxa"/>
            <w:vAlign w:val="bottom"/>
            <w:tcBorders>
              <w:top w:val="single" w:sz="8" w:color="0000EE"/>
            </w:tcBorders>
            <w:shd w:val="clear" w:color="auto" w:fill="CCEEFF"/>
          </w:tcPr>
          <w:p>
            <w:pPr>
              <w:spacing w:after="0"/>
              <w:rPr>
                <w:sz w:val="18"/>
                <w:szCs w:val="18"/>
                <w:color w:val="auto"/>
              </w:rPr>
            </w:pPr>
          </w:p>
        </w:tc>
        <w:tc>
          <w:tcPr>
            <w:tcW w:w="166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560" w:type="dxa"/>
            <w:vAlign w:val="bottom"/>
            <w:gridSpan w:val="16"/>
            <w:shd w:val="clear" w:color="auto" w:fill="CCEEFF"/>
          </w:tcPr>
          <w:p>
            <w:pPr>
              <w:ind w:left="20"/>
              <w:spacing w:after="0" w:line="176" w:lineRule="exact"/>
              <w:rPr>
                <w:rFonts w:ascii="Arial" w:cs="Arial" w:eastAsia="Arial" w:hAnsi="Arial"/>
                <w:sz w:val="18"/>
                <w:szCs w:val="18"/>
                <w:color w:val="0000EE"/>
                <w:w w:val="95"/>
              </w:rPr>
            </w:pPr>
            <w:hyperlink w:anchor="page4">
              <w:r>
                <w:rPr>
                  <w:rFonts w:ascii="Arial" w:cs="Arial" w:eastAsia="Arial" w:hAnsi="Arial"/>
                  <w:sz w:val="18"/>
                  <w:szCs w:val="18"/>
                  <w:color w:val="0000EE"/>
                  <w:w w:val="95"/>
                </w:rPr>
                <w:t>Condensed Consolidated Statements of Earnings and Comprehensive Income for the</w:t>
              </w:r>
            </w:hyperlink>
          </w:p>
        </w:tc>
        <w:tc>
          <w:tcPr>
            <w:tcW w:w="760" w:type="dxa"/>
            <w:vAlign w:val="bottom"/>
            <w:shd w:val="clear" w:color="auto" w:fill="CCEEFF"/>
          </w:tcPr>
          <w:p>
            <w:pPr>
              <w:spacing w:after="0"/>
              <w:rPr>
                <w:sz w:val="15"/>
                <w:szCs w:val="15"/>
                <w:color w:val="auto"/>
              </w:rPr>
            </w:pP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500" w:type="dxa"/>
            <w:vAlign w:val="bottom"/>
            <w:tcBorders>
              <w:top w:val="single" w:sz="8" w:color="0000EE"/>
            </w:tcBorders>
            <w:gridSpan w:val="13"/>
            <w:shd w:val="clear" w:color="auto" w:fill="CCEEFF"/>
          </w:tcPr>
          <w:p>
            <w:pPr>
              <w:ind w:left="2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Three and Six Months Ended June 26, 2021 and June 27, 2020</w:t>
              </w:r>
            </w:hyperlink>
          </w:p>
        </w:tc>
        <w:tc>
          <w:tcPr>
            <w:tcW w:w="60" w:type="dxa"/>
            <w:vAlign w:val="bottom"/>
            <w:tcBorders>
              <w:top w:val="single" w:sz="8" w:color="CCEEFF"/>
            </w:tcBorders>
            <w:gridSpan w:val="3"/>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540" w:type="dxa"/>
            <w:vAlign w:val="bottom"/>
            <w:tcBorders>
              <w:bottom w:val="single" w:sz="8" w:color="0000EE"/>
            </w:tcBorders>
            <w:gridSpan w:val="15"/>
            <w:shd w:val="clear" w:color="auto" w:fill="CCEEFF"/>
          </w:tcPr>
          <w:p>
            <w:pPr>
              <w:ind w:left="20"/>
              <w:spacing w:after="0" w:line="176" w:lineRule="exact"/>
              <w:rPr>
                <w:rFonts w:ascii="Arial" w:cs="Arial" w:eastAsia="Arial" w:hAnsi="Arial"/>
                <w:sz w:val="18"/>
                <w:szCs w:val="18"/>
                <w:color w:val="0000EE"/>
                <w:w w:val="98"/>
              </w:rPr>
            </w:pPr>
            <w:hyperlink w:anchor="page5">
              <w:r>
                <w:rPr>
                  <w:rFonts w:ascii="Arial" w:cs="Arial" w:eastAsia="Arial" w:hAnsi="Arial"/>
                  <w:sz w:val="18"/>
                  <w:szCs w:val="18"/>
                  <w:color w:val="0000EE"/>
                  <w:w w:val="98"/>
                </w:rPr>
                <w:t>Condensed Consolidated Statements of Shareholders’ Equity for the Three and Six</w:t>
              </w:r>
            </w:hyperlink>
          </w:p>
        </w:tc>
        <w:tc>
          <w:tcPr>
            <w:tcW w:w="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r>
      <w:tr>
        <w:trPr>
          <w:trHeight w:val="216"/>
        </w:trPr>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560" w:type="dxa"/>
            <w:vAlign w:val="bottom"/>
            <w:gridSpan w:val="16"/>
            <w:shd w:val="clear" w:color="auto" w:fill="CCEEFF"/>
          </w:tcPr>
          <w:p>
            <w:pPr>
              <w:ind w:left="2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Months Ended June 26, 2021 and June 27, 2020</w:t>
              </w:r>
            </w:hyperlink>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5"/>
        </w:trPr>
        <w:tc>
          <w:tcPr>
            <w:tcW w:w="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520" w:type="dxa"/>
            <w:vAlign w:val="bottom"/>
            <w:tcBorders>
              <w:bottom w:val="single" w:sz="8" w:color="0000EE"/>
            </w:tcBorders>
            <w:gridSpan w:val="14"/>
            <w:shd w:val="clear" w:color="auto" w:fill="CCEEFF"/>
          </w:tcPr>
          <w:p>
            <w:pPr>
              <w:ind w:left="20"/>
              <w:spacing w:after="0" w:line="176" w:lineRule="exact"/>
              <w:rPr>
                <w:rFonts w:ascii="Arial" w:cs="Arial" w:eastAsia="Arial" w:hAnsi="Arial"/>
                <w:sz w:val="18"/>
                <w:szCs w:val="18"/>
                <w:color w:val="0000EE"/>
                <w:w w:val="92"/>
              </w:rPr>
            </w:pPr>
            <w:hyperlink w:anchor="page7">
              <w:r>
                <w:rPr>
                  <w:rFonts w:ascii="Arial" w:cs="Arial" w:eastAsia="Arial" w:hAnsi="Arial"/>
                  <w:sz w:val="18"/>
                  <w:szCs w:val="18"/>
                  <w:color w:val="0000EE"/>
                  <w:w w:val="92"/>
                </w:rPr>
                <w:t>Condensed Consolidated Statements of Cash Flows for the Six Months Ended June 26,</w:t>
              </w:r>
            </w:hyperlink>
          </w:p>
        </w:tc>
        <w:tc>
          <w:tcPr>
            <w:tcW w:w="40" w:type="dxa"/>
            <w:vAlign w:val="bottom"/>
            <w:tcBorders>
              <w:bottom w:val="single" w:sz="8" w:color="CCEEFF"/>
            </w:tcBorders>
            <w:gridSpan w:val="2"/>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r>
      <w:tr>
        <w:trPr>
          <w:trHeight w:val="217"/>
        </w:trPr>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560" w:type="dxa"/>
            <w:vAlign w:val="bottom"/>
            <w:gridSpan w:val="16"/>
            <w:shd w:val="clear" w:color="auto" w:fill="CCEEFF"/>
          </w:tcPr>
          <w:p>
            <w:pPr>
              <w:ind w:left="2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2021 and June 27, 2020</w:t>
              </w:r>
            </w:hyperlink>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560" w:type="dxa"/>
            <w:vAlign w:val="bottom"/>
            <w:gridSpan w:val="16"/>
            <w:shd w:val="clear" w:color="auto" w:fill="CCEEFF"/>
          </w:tcPr>
          <w:p>
            <w:pPr>
              <w:ind w:left="2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Unaudited Condensed Consolidated Financial Statements</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Item 2.</w:t>
              </w:r>
            </w:hyperlink>
          </w:p>
        </w:tc>
        <w:tc>
          <w:tcPr>
            <w:tcW w:w="6560" w:type="dxa"/>
            <w:vAlign w:val="bottom"/>
            <w:gridSpan w:val="16"/>
            <w:shd w:val="clear" w:color="auto" w:fill="CCEEFF"/>
          </w:tcPr>
          <w:p>
            <w:pPr>
              <w:ind w:left="20"/>
              <w:spacing w:after="0" w:line="176" w:lineRule="exact"/>
              <w:rPr>
                <w:rFonts w:ascii="Arial" w:cs="Arial" w:eastAsia="Arial" w:hAnsi="Arial"/>
                <w:sz w:val="18"/>
                <w:szCs w:val="18"/>
                <w:color w:val="0000EE"/>
                <w:w w:val="92"/>
              </w:rPr>
            </w:pPr>
            <w:hyperlink w:anchor="page18">
              <w:r>
                <w:rPr>
                  <w:rFonts w:ascii="Arial" w:cs="Arial" w:eastAsia="Arial" w:hAnsi="Arial"/>
                  <w:sz w:val="18"/>
                  <w:szCs w:val="18"/>
                  <w:color w:val="0000EE"/>
                  <w:w w:val="92"/>
                </w:rPr>
                <w:t>Management’s Discussion and Analysis of Financial Condition and Results of Operations</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Item 3.</w:t>
              </w:r>
            </w:hyperlink>
          </w:p>
        </w:tc>
        <w:tc>
          <w:tcPr>
            <w:tcW w:w="6560" w:type="dxa"/>
            <w:vAlign w:val="bottom"/>
            <w:gridSpan w:val="16"/>
            <w:shd w:val="clear" w:color="auto" w:fill="CCEEFF"/>
          </w:tcPr>
          <w:p>
            <w:pPr>
              <w:ind w:left="2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Quantitative and Qualitative Disclosures about Market Risk</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Item 4.</w:t>
              </w:r>
            </w:hyperlink>
          </w:p>
        </w:tc>
        <w:tc>
          <w:tcPr>
            <w:tcW w:w="6560" w:type="dxa"/>
            <w:vAlign w:val="bottom"/>
            <w:gridSpan w:val="16"/>
            <w:shd w:val="clear" w:color="auto" w:fill="CCEEFF"/>
          </w:tcPr>
          <w:p>
            <w:pPr>
              <w:ind w:left="2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Controls and Procedures</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w:t>
            </w:r>
          </w:p>
        </w:tc>
      </w:tr>
      <w:tr>
        <w:trPr>
          <w:trHeight w:val="216"/>
        </w:trPr>
        <w:tc>
          <w:tcPr>
            <w:tcW w:w="840" w:type="dxa"/>
            <w:vAlign w:val="bottom"/>
            <w:tcBorders>
              <w:top w:val="single" w:sz="8" w:color="CCEEFF"/>
            </w:tcBorders>
            <w:gridSpan w:val="2"/>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216"/>
        </w:trPr>
        <w:tc>
          <w:tcPr>
            <w:tcW w:w="1580" w:type="dxa"/>
            <w:vAlign w:val="bottom"/>
            <w:gridSpan w:val="6"/>
            <w:shd w:val="clear" w:color="auto" w:fill="CCEEFF"/>
          </w:tcPr>
          <w:p>
            <w:pPr>
              <w:ind w:left="20"/>
              <w:spacing w:after="0"/>
              <w:rPr>
                <w:sz w:val="20"/>
                <w:szCs w:val="20"/>
                <w:color w:val="auto"/>
              </w:rPr>
            </w:pPr>
            <w:r>
              <w:rPr>
                <w:rFonts w:ascii="Arial" w:cs="Arial" w:eastAsia="Arial" w:hAnsi="Arial"/>
                <w:sz w:val="18"/>
                <w:szCs w:val="18"/>
                <w:b w:val="1"/>
                <w:bCs w:val="1"/>
                <w:color w:val="auto"/>
              </w:rPr>
              <w:t>PART II.</w:t>
            </w:r>
          </w:p>
        </w:tc>
        <w:tc>
          <w:tcPr>
            <w:tcW w:w="6560" w:type="dxa"/>
            <w:vAlign w:val="bottom"/>
            <w:gridSpan w:val="16"/>
            <w:shd w:val="clear" w:color="auto" w:fill="CCEEFF"/>
          </w:tcPr>
          <w:p>
            <w:pPr>
              <w:ind w:left="20"/>
              <w:spacing w:after="0"/>
              <w:rPr>
                <w:sz w:val="20"/>
                <w:szCs w:val="20"/>
                <w:color w:val="auto"/>
              </w:rPr>
            </w:pPr>
            <w:r>
              <w:rPr>
                <w:rFonts w:ascii="Arial" w:cs="Arial" w:eastAsia="Arial" w:hAnsi="Arial"/>
                <w:sz w:val="18"/>
                <w:szCs w:val="18"/>
                <w:b w:val="1"/>
                <w:bCs w:val="1"/>
                <w:color w:val="auto"/>
              </w:rPr>
              <w:t>OTHER INFORMATION</w:t>
            </w: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ind w:left="820"/>
              <w:spacing w:after="0"/>
              <w:rPr>
                <w:sz w:val="20"/>
                <w:szCs w:val="20"/>
                <w:color w:val="auto"/>
              </w:rPr>
            </w:pPr>
            <w:r>
              <w:rPr>
                <w:rFonts w:ascii="Arial" w:cs="Arial" w:eastAsia="Arial" w:hAnsi="Arial"/>
                <w:sz w:val="18"/>
                <w:szCs w:val="18"/>
                <w:color w:val="auto"/>
              </w:rPr>
              <w:t>Item 1.</w:t>
            </w:r>
          </w:p>
        </w:tc>
        <w:tc>
          <w:tcPr>
            <w:tcW w:w="6560" w:type="dxa"/>
            <w:vAlign w:val="bottom"/>
            <w:gridSpan w:val="16"/>
            <w:shd w:val="clear" w:color="auto" w:fill="CCEEFF"/>
          </w:tcPr>
          <w:p>
            <w:pPr>
              <w:ind w:left="20"/>
              <w:spacing w:after="0"/>
              <w:rPr>
                <w:sz w:val="20"/>
                <w:szCs w:val="20"/>
                <w:color w:val="auto"/>
              </w:rPr>
            </w:pPr>
            <w:r>
              <w:rPr>
                <w:rFonts w:ascii="Arial" w:cs="Arial" w:eastAsia="Arial" w:hAnsi="Arial"/>
                <w:sz w:val="18"/>
                <w:szCs w:val="18"/>
                <w:color w:val="auto"/>
              </w:rPr>
              <w:t>Legal Proceedings – NONE</w:t>
            </w: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Item 1A.</w:t>
              </w:r>
            </w:hyperlink>
          </w:p>
        </w:tc>
        <w:tc>
          <w:tcPr>
            <w:tcW w:w="6560" w:type="dxa"/>
            <w:vAlign w:val="bottom"/>
            <w:gridSpan w:val="16"/>
            <w:shd w:val="clear" w:color="auto" w:fill="CCEEFF"/>
          </w:tcPr>
          <w:p>
            <w:pPr>
              <w:ind w:left="2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Risk Factors - NONE</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Item 2.</w:t>
              </w:r>
            </w:hyperlink>
          </w:p>
        </w:tc>
        <w:tc>
          <w:tcPr>
            <w:tcW w:w="6560" w:type="dxa"/>
            <w:vAlign w:val="bottom"/>
            <w:gridSpan w:val="16"/>
            <w:shd w:val="clear" w:color="auto" w:fill="CCEEFF"/>
          </w:tcPr>
          <w:p>
            <w:pPr>
              <w:ind w:left="2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Unregistered Sales of Equity Securities and Use of Proceeds</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ind w:left="820"/>
              <w:spacing w:after="0"/>
              <w:rPr>
                <w:sz w:val="20"/>
                <w:szCs w:val="20"/>
                <w:color w:val="auto"/>
              </w:rPr>
            </w:pPr>
            <w:r>
              <w:rPr>
                <w:rFonts w:ascii="Arial" w:cs="Arial" w:eastAsia="Arial" w:hAnsi="Arial"/>
                <w:sz w:val="18"/>
                <w:szCs w:val="18"/>
                <w:color w:val="auto"/>
              </w:rPr>
              <w:t>Item 3.</w:t>
            </w:r>
          </w:p>
        </w:tc>
        <w:tc>
          <w:tcPr>
            <w:tcW w:w="6560" w:type="dxa"/>
            <w:vAlign w:val="bottom"/>
            <w:gridSpan w:val="16"/>
            <w:shd w:val="clear" w:color="auto" w:fill="CCEEFF"/>
          </w:tcPr>
          <w:p>
            <w:pPr>
              <w:ind w:left="20"/>
              <w:spacing w:after="0"/>
              <w:rPr>
                <w:sz w:val="20"/>
                <w:szCs w:val="20"/>
                <w:color w:val="auto"/>
              </w:rPr>
            </w:pPr>
            <w:r>
              <w:rPr>
                <w:rFonts w:ascii="Arial" w:cs="Arial" w:eastAsia="Arial" w:hAnsi="Arial"/>
                <w:sz w:val="18"/>
                <w:szCs w:val="18"/>
                <w:color w:val="auto"/>
              </w:rPr>
              <w:t>Defaults upon Senior Securities – NONE</w:t>
            </w: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ind w:left="820"/>
              <w:spacing w:after="0"/>
              <w:rPr>
                <w:sz w:val="20"/>
                <w:szCs w:val="20"/>
                <w:color w:val="auto"/>
              </w:rPr>
            </w:pPr>
            <w:r>
              <w:rPr>
                <w:rFonts w:ascii="Arial" w:cs="Arial" w:eastAsia="Arial" w:hAnsi="Arial"/>
                <w:sz w:val="18"/>
                <w:szCs w:val="18"/>
                <w:color w:val="auto"/>
              </w:rPr>
              <w:t>Item 4.</w:t>
            </w:r>
          </w:p>
        </w:tc>
        <w:tc>
          <w:tcPr>
            <w:tcW w:w="6560" w:type="dxa"/>
            <w:vAlign w:val="bottom"/>
            <w:gridSpan w:val="16"/>
            <w:shd w:val="clear" w:color="auto" w:fill="CCEEFF"/>
          </w:tcPr>
          <w:p>
            <w:pPr>
              <w:ind w:left="20"/>
              <w:spacing w:after="0"/>
              <w:rPr>
                <w:sz w:val="20"/>
                <w:szCs w:val="20"/>
                <w:color w:val="auto"/>
              </w:rPr>
            </w:pPr>
            <w:r>
              <w:rPr>
                <w:rFonts w:ascii="Arial" w:cs="Arial" w:eastAsia="Arial" w:hAnsi="Arial"/>
                <w:sz w:val="18"/>
                <w:szCs w:val="18"/>
                <w:color w:val="auto"/>
              </w:rPr>
              <w:t>Mine Safety Disclosures – NONE</w:t>
            </w: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Item 5.</w:t>
              </w:r>
            </w:hyperlink>
          </w:p>
        </w:tc>
        <w:tc>
          <w:tcPr>
            <w:tcW w:w="6560" w:type="dxa"/>
            <w:vAlign w:val="bottom"/>
            <w:gridSpan w:val="16"/>
            <w:shd w:val="clear" w:color="auto" w:fill="CCEEFF"/>
          </w:tcPr>
          <w:p>
            <w:pPr>
              <w:ind w:left="2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Other Information – NONE</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5"/>
        </w:trPr>
        <w:tc>
          <w:tcPr>
            <w:tcW w:w="20" w:type="dxa"/>
            <w:vAlign w:val="bottom"/>
            <w:shd w:val="clear" w:color="auto" w:fill="CCEEFF"/>
          </w:tcPr>
          <w:p>
            <w:pPr>
              <w:spacing w:after="0"/>
              <w:rPr>
                <w:sz w:val="15"/>
                <w:szCs w:val="15"/>
                <w:color w:val="auto"/>
              </w:rPr>
            </w:pPr>
          </w:p>
        </w:tc>
        <w:tc>
          <w:tcPr>
            <w:tcW w:w="1560" w:type="dxa"/>
            <w:vAlign w:val="bottom"/>
            <w:gridSpan w:val="5"/>
            <w:shd w:val="clear" w:color="auto" w:fill="CCEEFF"/>
          </w:tcPr>
          <w:p>
            <w:pPr>
              <w:ind w:left="82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Item 6.</w:t>
              </w:r>
            </w:hyperlink>
          </w:p>
        </w:tc>
        <w:tc>
          <w:tcPr>
            <w:tcW w:w="6560" w:type="dxa"/>
            <w:vAlign w:val="bottom"/>
            <w:gridSpan w:val="16"/>
            <w:shd w:val="clear" w:color="auto" w:fill="CCEEFF"/>
          </w:tcPr>
          <w:p>
            <w:pPr>
              <w:ind w:left="2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Exhibits</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2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8"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4940" w:type="dxa"/>
            <w:vAlign w:val="bottom"/>
          </w:tcPr>
          <w:p>
            <w:pPr>
              <w:spacing w:after="0"/>
              <w:rPr>
                <w:sz w:val="20"/>
                <w:szCs w:val="20"/>
                <w:color w:val="auto"/>
              </w:rPr>
            </w:pPr>
            <w:r>
              <w:rPr>
                <w:rFonts w:ascii="Arial" w:cs="Arial" w:eastAsia="Arial" w:hAnsi="Arial"/>
                <w:sz w:val="14"/>
                <w:szCs w:val="14"/>
                <w:b w:val="1"/>
                <w:bCs w:val="1"/>
                <w:color w:val="auto"/>
              </w:rPr>
              <w:t>(in thousands, except share data)</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June 26,</w:t>
            </w:r>
          </w:p>
        </w:tc>
        <w:tc>
          <w:tcPr>
            <w:tcW w:w="220" w:type="dxa"/>
            <w:vAlign w:val="bottom"/>
          </w:tcPr>
          <w:p>
            <w:pPr>
              <w:spacing w:after="0"/>
              <w:rPr>
                <w:sz w:val="16"/>
                <w:szCs w:val="16"/>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December 26,</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June 27,</w:t>
            </w:r>
          </w:p>
        </w:tc>
        <w:tc>
          <w:tcPr>
            <w:tcW w:w="0" w:type="dxa"/>
            <w:vAlign w:val="bottom"/>
          </w:tcPr>
          <w:p>
            <w:pPr>
              <w:spacing w:after="0"/>
              <w:rPr>
                <w:sz w:val="1"/>
                <w:szCs w:val="1"/>
                <w:color w:val="auto"/>
              </w:rPr>
            </w:pPr>
          </w:p>
        </w:tc>
      </w:tr>
      <w:tr>
        <w:trPr>
          <w:trHeight w:val="111"/>
        </w:trPr>
        <w:tc>
          <w:tcPr>
            <w:tcW w:w="49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49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Cash and cash equivalents</w:t>
            </w:r>
          </w:p>
        </w:tc>
        <w:tc>
          <w:tcPr>
            <w:tcW w:w="68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44,286</w:t>
            </w:r>
          </w:p>
        </w:tc>
        <w:tc>
          <w:tcPr>
            <w:tcW w:w="420" w:type="dxa"/>
            <w:vAlign w:val="bottom"/>
            <w:gridSpan w:val="2"/>
            <w:shd w:val="clear" w:color="auto" w:fill="CCEEFF"/>
          </w:tcPr>
          <w:p>
            <w:pPr>
              <w:jc w:val="right"/>
              <w:ind w:right="78"/>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436,507</w:t>
            </w:r>
          </w:p>
        </w:tc>
        <w:tc>
          <w:tcPr>
            <w:tcW w:w="2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200,546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ind w:left="100"/>
              <w:spacing w:after="0" w:line="149" w:lineRule="exact"/>
              <w:rPr>
                <w:sz w:val="20"/>
                <w:szCs w:val="20"/>
                <w:color w:val="auto"/>
              </w:rPr>
            </w:pPr>
            <w:r>
              <w:rPr>
                <w:rFonts w:ascii="Arial" w:cs="Arial" w:eastAsia="Arial" w:hAnsi="Arial"/>
                <w:sz w:val="14"/>
                <w:szCs w:val="14"/>
                <w:color w:val="auto"/>
              </w:rPr>
              <w:t>Restricted cash</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629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101</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Investments</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33,827</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24,308</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19,195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ind w:left="100"/>
              <w:spacing w:after="0" w:line="149" w:lineRule="exact"/>
              <w:rPr>
                <w:sz w:val="20"/>
                <w:szCs w:val="20"/>
                <w:color w:val="auto"/>
              </w:rPr>
            </w:pPr>
            <w:r>
              <w:rPr>
                <w:rFonts w:ascii="Arial" w:cs="Arial" w:eastAsia="Arial" w:hAnsi="Arial"/>
                <w:sz w:val="14"/>
                <w:szCs w:val="14"/>
                <w:color w:val="auto"/>
              </w:rPr>
              <w:t>Accounts receivable, net</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980,571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470,504</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522,930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Inventories:</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ind w:left="320"/>
              <w:spacing w:after="0" w:line="149" w:lineRule="exact"/>
              <w:rPr>
                <w:sz w:val="20"/>
                <w:szCs w:val="20"/>
                <w:color w:val="auto"/>
              </w:rPr>
            </w:pPr>
            <w:r>
              <w:rPr>
                <w:rFonts w:ascii="Arial" w:cs="Arial" w:eastAsia="Arial" w:hAnsi="Arial"/>
                <w:sz w:val="14"/>
                <w:szCs w:val="14"/>
                <w:color w:val="auto"/>
              </w:rPr>
              <w:t>Raw materials</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540,289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316,481</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244,073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940" w:type="dxa"/>
            <w:vAlign w:val="bottom"/>
            <w:tcBorders>
              <w:bottom w:val="single" w:sz="8" w:color="CCEEFF"/>
            </w:tcBorders>
            <w:shd w:val="clear" w:color="auto" w:fill="CCEEFF"/>
          </w:tcPr>
          <w:p>
            <w:pPr>
              <w:ind w:left="320"/>
              <w:spacing w:after="0" w:line="149" w:lineRule="exact"/>
              <w:rPr>
                <w:sz w:val="20"/>
                <w:szCs w:val="20"/>
                <w:color w:val="auto"/>
              </w:rPr>
            </w:pPr>
            <w:r>
              <w:rPr>
                <w:rFonts w:ascii="Arial" w:cs="Arial" w:eastAsia="Arial" w:hAnsi="Arial"/>
                <w:sz w:val="14"/>
                <w:szCs w:val="14"/>
                <w:color w:val="auto"/>
              </w:rPr>
              <w:t>Finished goods</w:t>
            </w:r>
          </w:p>
        </w:tc>
        <w:tc>
          <w:tcPr>
            <w:tcW w:w="5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486,199</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250,813</w:t>
            </w:r>
          </w:p>
        </w:tc>
        <w:tc>
          <w:tcPr>
            <w:tcW w:w="2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215,351</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940" w:type="dxa"/>
            <w:vAlign w:val="bottom"/>
          </w:tcPr>
          <w:p>
            <w:pPr>
              <w:ind w:left="420"/>
              <w:spacing w:after="0" w:line="135" w:lineRule="exact"/>
              <w:rPr>
                <w:sz w:val="20"/>
                <w:szCs w:val="20"/>
                <w:color w:val="auto"/>
              </w:rPr>
            </w:pPr>
            <w:r>
              <w:rPr>
                <w:rFonts w:ascii="Arial" w:cs="Arial" w:eastAsia="Arial" w:hAnsi="Arial"/>
                <w:sz w:val="14"/>
                <w:szCs w:val="14"/>
                <w:color w:val="auto"/>
              </w:rPr>
              <w:t>Total inventories</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4"/>
                <w:szCs w:val="14"/>
                <w:color w:val="auto"/>
              </w:rPr>
              <w:t>1,026,488</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4"/>
                <w:szCs w:val="14"/>
                <w:color w:val="auto"/>
              </w:rPr>
              <w:t>567,294</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4"/>
                <w:szCs w:val="14"/>
                <w:color w:val="auto"/>
              </w:rPr>
              <w:t>459,424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Refundable income taxes</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5,836</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940" w:type="dxa"/>
            <w:vAlign w:val="bottom"/>
            <w:tcBorders>
              <w:bottom w:val="single" w:sz="8" w:color="CCEEFF"/>
            </w:tcBorders>
          </w:tcPr>
          <w:p>
            <w:pPr>
              <w:ind w:left="100"/>
              <w:spacing w:after="0" w:line="149" w:lineRule="exact"/>
              <w:rPr>
                <w:sz w:val="20"/>
                <w:szCs w:val="20"/>
                <w:color w:val="auto"/>
              </w:rPr>
            </w:pPr>
            <w:r>
              <w:rPr>
                <w:rFonts w:ascii="Arial" w:cs="Arial" w:eastAsia="Arial" w:hAnsi="Arial"/>
                <w:sz w:val="14"/>
                <w:szCs w:val="14"/>
                <w:color w:val="auto"/>
              </w:rPr>
              <w:t>Other current assets</w:t>
            </w:r>
          </w:p>
        </w:tc>
        <w:tc>
          <w:tcPr>
            <w:tcW w:w="5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36,699</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33,812</w:t>
            </w:r>
          </w:p>
        </w:tc>
        <w:tc>
          <w:tcPr>
            <w:tcW w:w="2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33,786</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CURRENT ASSETS</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2,122,500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1,538,362</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1,236,605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line="149" w:lineRule="exact"/>
              <w:rPr>
                <w:sz w:val="20"/>
                <w:szCs w:val="20"/>
                <w:color w:val="auto"/>
              </w:rPr>
            </w:pPr>
            <w:r>
              <w:rPr>
                <w:rFonts w:ascii="Arial" w:cs="Arial" w:eastAsia="Arial" w:hAnsi="Arial"/>
                <w:sz w:val="14"/>
                <w:szCs w:val="14"/>
                <w:color w:val="auto"/>
              </w:rPr>
              <w:t>DEFERRED INCOME TAXES</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2,362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2,413</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2,058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INVESTMENTS</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18,896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17,565</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17,162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line="149" w:lineRule="exact"/>
              <w:rPr>
                <w:sz w:val="20"/>
                <w:szCs w:val="20"/>
                <w:color w:val="auto"/>
              </w:rPr>
            </w:pPr>
            <w:r>
              <w:rPr>
                <w:rFonts w:ascii="Arial" w:cs="Arial" w:eastAsia="Arial" w:hAnsi="Arial"/>
                <w:sz w:val="14"/>
                <w:szCs w:val="14"/>
                <w:color w:val="auto"/>
              </w:rPr>
              <w:t>RIGHT OF USE ASSETS</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97,597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77,245</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77,039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29,631</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20,298</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24,205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318,108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252,193</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247,482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INDEFINITE-LIVED INTANGIBLE ASSETS</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7,401</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7,401</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line="149" w:lineRule="exact"/>
              <w:rPr>
                <w:sz w:val="20"/>
                <w:szCs w:val="20"/>
                <w:color w:val="auto"/>
              </w:rPr>
            </w:pPr>
            <w:r>
              <w:rPr>
                <w:rFonts w:ascii="Arial" w:cs="Arial" w:eastAsia="Arial" w:hAnsi="Arial"/>
                <w:sz w:val="14"/>
                <w:szCs w:val="14"/>
                <w:color w:val="auto"/>
              </w:rPr>
              <w:t>OTHER INTANGIBLE ASSETS, NET</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98,601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72,252</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45,131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PLANT AND EQUIPMENT:</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ind w:left="100"/>
              <w:spacing w:after="0" w:line="149" w:lineRule="exact"/>
              <w:rPr>
                <w:sz w:val="20"/>
                <w:szCs w:val="20"/>
                <w:color w:val="auto"/>
              </w:rPr>
            </w:pPr>
            <w:r>
              <w:rPr>
                <w:rFonts w:ascii="Arial" w:cs="Arial" w:eastAsia="Arial" w:hAnsi="Arial"/>
                <w:sz w:val="14"/>
                <w:szCs w:val="14"/>
                <w:color w:val="auto"/>
              </w:rPr>
              <w:t>Property, plant and equipment</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1,120,381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974,497</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922,427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940" w:type="dxa"/>
            <w:vAlign w:val="bottom"/>
            <w:tcBorders>
              <w:bottom w:val="single" w:sz="8" w:color="CCEEFF"/>
            </w:tcBorders>
            <w:shd w:val="clear" w:color="auto" w:fill="CCEEFF"/>
          </w:tcPr>
          <w:p>
            <w:pPr>
              <w:ind w:left="100"/>
              <w:spacing w:after="0" w:line="149" w:lineRule="exact"/>
              <w:rPr>
                <w:sz w:val="20"/>
                <w:szCs w:val="20"/>
                <w:color w:val="auto"/>
              </w:rPr>
            </w:pPr>
            <w:r>
              <w:rPr>
                <w:rFonts w:ascii="Arial" w:cs="Arial" w:eastAsia="Arial" w:hAnsi="Arial"/>
                <w:sz w:val="14"/>
                <w:szCs w:val="14"/>
                <w:color w:val="auto"/>
              </w:rPr>
              <w:t>Less accumulated depreciation and amortization</w:t>
            </w:r>
          </w:p>
        </w:tc>
        <w:tc>
          <w:tcPr>
            <w:tcW w:w="5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(587,194)</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(557,335)</w:t>
            </w:r>
          </w:p>
        </w:tc>
        <w:tc>
          <w:tcPr>
            <w:tcW w:w="2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(520,851)</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940" w:type="dxa"/>
            <w:vAlign w:val="bottom"/>
            <w:tcBorders>
              <w:bottom w:val="single" w:sz="8" w:color="CCEEFF"/>
            </w:tcBorders>
          </w:tcPr>
          <w:p>
            <w:pPr>
              <w:ind w:left="400"/>
              <w:spacing w:after="0" w:line="135" w:lineRule="exact"/>
              <w:rPr>
                <w:sz w:val="20"/>
                <w:szCs w:val="20"/>
                <w:color w:val="auto"/>
              </w:rPr>
            </w:pPr>
            <w:r>
              <w:rPr>
                <w:rFonts w:ascii="Arial" w:cs="Arial" w:eastAsia="Arial" w:hAnsi="Arial"/>
                <w:sz w:val="14"/>
                <w:szCs w:val="14"/>
                <w:color w:val="auto"/>
              </w:rPr>
              <w:t>PROPERTY, PLANT AND EQUIPMENT, NET</w:t>
            </w:r>
          </w:p>
        </w:tc>
        <w:tc>
          <w:tcPr>
            <w:tcW w:w="5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533,187</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417,162</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401,576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5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3,228,283</w:t>
            </w:r>
          </w:p>
        </w:tc>
        <w:tc>
          <w:tcPr>
            <w:tcW w:w="2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2,404,891</w:t>
            </w:r>
          </w:p>
        </w:tc>
        <w:tc>
          <w:tcPr>
            <w:tcW w:w="2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2,058,608</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SHAREHOLDERS’ EQUITY</w:t>
            </w: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94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tcPr>
          <w:p>
            <w:pPr>
              <w:ind w:left="100"/>
              <w:spacing w:after="0" w:line="149" w:lineRule="exact"/>
              <w:rPr>
                <w:sz w:val="20"/>
                <w:szCs w:val="20"/>
                <w:color w:val="auto"/>
              </w:rPr>
            </w:pPr>
            <w:r>
              <w:rPr>
                <w:rFonts w:ascii="Arial" w:cs="Arial" w:eastAsia="Arial" w:hAnsi="Arial"/>
                <w:sz w:val="14"/>
                <w:szCs w:val="14"/>
                <w:color w:val="auto"/>
              </w:rPr>
              <w:t>Cash overdraft</w:t>
            </w:r>
          </w:p>
        </w:tc>
        <w:tc>
          <w:tcPr>
            <w:tcW w:w="68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34,229</w:t>
            </w:r>
          </w:p>
        </w:tc>
        <w:tc>
          <w:tcPr>
            <w:tcW w:w="420" w:type="dxa"/>
            <w:vAlign w:val="bottom"/>
            <w:gridSpan w:val="2"/>
          </w:tcPr>
          <w:p>
            <w:pPr>
              <w:jc w:val="right"/>
              <w:ind w:right="78"/>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Accounts payable</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359,484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211,518</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199,338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ind w:left="100"/>
              <w:spacing w:after="0" w:line="149" w:lineRule="exact"/>
              <w:rPr>
                <w:sz w:val="20"/>
                <w:szCs w:val="20"/>
                <w:color w:val="auto"/>
              </w:rPr>
            </w:pPr>
            <w:r>
              <w:rPr>
                <w:rFonts w:ascii="Arial" w:cs="Arial" w:eastAsia="Arial" w:hAnsi="Arial"/>
                <w:sz w:val="14"/>
                <w:szCs w:val="14"/>
                <w:color w:val="auto"/>
              </w:rPr>
              <w:t>Accrued liabilities:</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Compensation and benefits</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213,655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166,478</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129,290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ind w:left="320"/>
              <w:spacing w:after="0" w:line="149" w:lineRule="exact"/>
              <w:rPr>
                <w:sz w:val="20"/>
                <w:szCs w:val="20"/>
                <w:color w:val="auto"/>
              </w:rPr>
            </w:pPr>
            <w:r>
              <w:rPr>
                <w:rFonts w:ascii="Arial" w:cs="Arial" w:eastAsia="Arial" w:hAnsi="Arial"/>
                <w:sz w:val="14"/>
                <w:szCs w:val="14"/>
                <w:color w:val="auto"/>
              </w:rPr>
              <w:t>Income taxes</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11,188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25,109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Other</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90,153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69,104</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63,278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tcPr>
          <w:p>
            <w:pPr>
              <w:ind w:left="100"/>
              <w:spacing w:after="0" w:line="149" w:lineRule="exact"/>
              <w:rPr>
                <w:sz w:val="20"/>
                <w:szCs w:val="20"/>
                <w:color w:val="auto"/>
              </w:rPr>
            </w:pPr>
            <w:r>
              <w:rPr>
                <w:rFonts w:ascii="Arial" w:cs="Arial" w:eastAsia="Arial" w:hAnsi="Arial"/>
                <w:sz w:val="14"/>
                <w:szCs w:val="14"/>
                <w:color w:val="auto"/>
              </w:rPr>
              <w:t>Current portion of lease liability</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22,511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16,549</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15,411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940" w:type="dxa"/>
            <w:vAlign w:val="bottom"/>
            <w:tcBorders>
              <w:bottom w:val="single" w:sz="8" w:color="CCEEFF"/>
            </w:tcBorders>
            <w:shd w:val="clear" w:color="auto" w:fill="CCEEFF"/>
          </w:tcPr>
          <w:p>
            <w:pPr>
              <w:ind w:left="100"/>
              <w:spacing w:after="0" w:line="149" w:lineRule="exact"/>
              <w:rPr>
                <w:sz w:val="20"/>
                <w:szCs w:val="20"/>
                <w:color w:val="auto"/>
              </w:rPr>
            </w:pPr>
            <w:r>
              <w:rPr>
                <w:rFonts w:ascii="Arial" w:cs="Arial" w:eastAsia="Arial" w:hAnsi="Arial"/>
                <w:sz w:val="14"/>
                <w:szCs w:val="14"/>
                <w:color w:val="auto"/>
              </w:rPr>
              <w:t>Current portion of long-term debt</w:t>
            </w:r>
          </w:p>
        </w:tc>
        <w:tc>
          <w:tcPr>
            <w:tcW w:w="5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97</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2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2,786</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940" w:type="dxa"/>
            <w:vAlign w:val="bottom"/>
          </w:tcPr>
          <w:p>
            <w:pPr>
              <w:ind w:left="420"/>
              <w:spacing w:after="0" w:line="135" w:lineRule="exact"/>
              <w:rPr>
                <w:sz w:val="20"/>
                <w:szCs w:val="20"/>
                <w:color w:val="auto"/>
              </w:rPr>
            </w:pPr>
            <w:r>
              <w:rPr>
                <w:rFonts w:ascii="Arial" w:cs="Arial" w:eastAsia="Arial" w:hAnsi="Arial"/>
                <w:sz w:val="14"/>
                <w:szCs w:val="14"/>
                <w:color w:val="auto"/>
              </w:rPr>
              <w:t>TOTAL CURRENT LIABILITIES</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4"/>
                <w:szCs w:val="14"/>
                <w:color w:val="auto"/>
              </w:rPr>
              <w:t>731,317</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4"/>
                <w:szCs w:val="14"/>
                <w:color w:val="auto"/>
              </w:rPr>
              <w:t>463,749</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4"/>
                <w:szCs w:val="14"/>
                <w:color w:val="auto"/>
              </w:rPr>
              <w:t>435,212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571,856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311,607</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161,057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line="149" w:lineRule="exact"/>
              <w:rPr>
                <w:sz w:val="20"/>
                <w:szCs w:val="20"/>
                <w:color w:val="auto"/>
              </w:rPr>
            </w:pPr>
            <w:r>
              <w:rPr>
                <w:rFonts w:ascii="Arial" w:cs="Arial" w:eastAsia="Arial" w:hAnsi="Arial"/>
                <w:sz w:val="14"/>
                <w:szCs w:val="14"/>
                <w:color w:val="auto"/>
              </w:rPr>
              <w:t>LEASE LIABILITY</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78,564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61,509</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61,674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INCOME TAXES</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34,983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25,266</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22,685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94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OTHER LIABILITIES</w:t>
            </w:r>
          </w:p>
        </w:tc>
        <w:tc>
          <w:tcPr>
            <w:tcW w:w="5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52,000</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59,608</w:t>
            </w:r>
          </w:p>
        </w:tc>
        <w:tc>
          <w:tcPr>
            <w:tcW w:w="2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38,655</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LIABILITIES</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1,468,720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921,739</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719,283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line="149" w:lineRule="exact"/>
              <w:rPr>
                <w:sz w:val="20"/>
                <w:szCs w:val="20"/>
                <w:color w:val="auto"/>
              </w:rPr>
            </w:pPr>
            <w:r>
              <w:rPr>
                <w:rFonts w:ascii="Arial" w:cs="Arial" w:eastAsia="Arial" w:hAnsi="Arial"/>
                <w:sz w:val="14"/>
                <w:szCs w:val="14"/>
                <w:color w:val="auto"/>
              </w:rPr>
              <w:t>SHAREHOLDERS’ EQUITY:</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Controlling interest shareholders’ equity:</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940" w:type="dxa"/>
            <w:vAlign w:val="bottom"/>
          </w:tcPr>
          <w:p>
            <w:pPr>
              <w:ind w:left="320"/>
              <w:spacing w:after="0" w:line="130" w:lineRule="exact"/>
              <w:rPr>
                <w:sz w:val="20"/>
                <w:szCs w:val="20"/>
                <w:color w:val="auto"/>
              </w:rPr>
            </w:pPr>
            <w:r>
              <w:rPr>
                <w:rFonts w:ascii="Arial" w:cs="Arial" w:eastAsia="Arial" w:hAnsi="Arial"/>
                <w:sz w:val="14"/>
                <w:szCs w:val="14"/>
                <w:color w:val="auto"/>
              </w:rPr>
              <w:t>Preferred stock, no par value; shares authorized 1,000,000; issued and</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940" w:type="dxa"/>
            <w:vAlign w:val="bottom"/>
          </w:tcPr>
          <w:p>
            <w:pPr>
              <w:ind w:left="320"/>
              <w:spacing w:after="0"/>
              <w:rPr>
                <w:sz w:val="20"/>
                <w:szCs w:val="20"/>
                <w:color w:val="auto"/>
              </w:rPr>
            </w:pPr>
            <w:r>
              <w:rPr>
                <w:rFonts w:ascii="Arial" w:cs="Arial" w:eastAsia="Arial" w:hAnsi="Arial"/>
                <w:sz w:val="14"/>
                <w:szCs w:val="14"/>
                <w:color w:val="auto"/>
              </w:rPr>
              <w:t>outstanding, none</w:t>
            </w:r>
          </w:p>
        </w:tc>
        <w:tc>
          <w:tcPr>
            <w:tcW w:w="68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78"/>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ind w:right="29"/>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4940" w:type="dxa"/>
            <w:vAlign w:val="bottom"/>
            <w:shd w:val="clear" w:color="auto" w:fill="CCEEFF"/>
          </w:tcPr>
          <w:p>
            <w:pPr>
              <w:ind w:left="320"/>
              <w:spacing w:after="0" w:line="130" w:lineRule="exact"/>
              <w:rPr>
                <w:sz w:val="20"/>
                <w:szCs w:val="20"/>
                <w:color w:val="auto"/>
              </w:rPr>
            </w:pPr>
            <w:r>
              <w:rPr>
                <w:rFonts w:ascii="Arial" w:cs="Arial" w:eastAsia="Arial" w:hAnsi="Arial"/>
                <w:sz w:val="14"/>
                <w:szCs w:val="14"/>
                <w:color w:val="auto"/>
              </w:rPr>
              <w:t>Common stock, $1 par value; shares authorized 80,000,000; issued and</w:t>
            </w: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9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outstanding, 61,850,733, 61,205,780 and 61,169,181</w:t>
            </w: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61,851</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61,206</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61,169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40" w:type="dxa"/>
            <w:vAlign w:val="bottom"/>
          </w:tcPr>
          <w:p>
            <w:pPr>
              <w:ind w:left="320"/>
              <w:spacing w:after="0" w:line="149" w:lineRule="exact"/>
              <w:rPr>
                <w:sz w:val="20"/>
                <w:szCs w:val="20"/>
                <w:color w:val="auto"/>
              </w:rPr>
            </w:pPr>
            <w:r>
              <w:rPr>
                <w:rFonts w:ascii="Arial" w:cs="Arial" w:eastAsia="Arial" w:hAnsi="Arial"/>
                <w:sz w:val="14"/>
                <w:szCs w:val="14"/>
                <w:color w:val="auto"/>
              </w:rPr>
              <w:t>Additional paid-in capital</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235,309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218,224</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213,809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Retained earnings</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1,440,833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1,182,680</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1,057,817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940" w:type="dxa"/>
            <w:vAlign w:val="bottom"/>
            <w:tcBorders>
              <w:bottom w:val="single" w:sz="8" w:color="CCEEFF"/>
            </w:tcBorders>
          </w:tcPr>
          <w:p>
            <w:pPr>
              <w:ind w:left="320"/>
              <w:spacing w:after="0" w:line="149" w:lineRule="exact"/>
              <w:rPr>
                <w:sz w:val="20"/>
                <w:szCs w:val="20"/>
                <w:color w:val="auto"/>
              </w:rPr>
            </w:pPr>
            <w:r>
              <w:rPr>
                <w:rFonts w:ascii="Arial" w:cs="Arial" w:eastAsia="Arial" w:hAnsi="Arial"/>
                <w:sz w:val="14"/>
                <w:szCs w:val="14"/>
                <w:color w:val="auto"/>
              </w:rPr>
              <w:t>Accumulated other comprehensive loss</w:t>
            </w:r>
          </w:p>
        </w:tc>
        <w:tc>
          <w:tcPr>
            <w:tcW w:w="5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(1,464)</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(1,794)</w:t>
            </w:r>
          </w:p>
        </w:tc>
        <w:tc>
          <w:tcPr>
            <w:tcW w:w="2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(8,396)</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controlling interest shareholders’ equity</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1,736,529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1,460,316</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1,324,399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940" w:type="dxa"/>
            <w:vAlign w:val="bottom"/>
            <w:tcBorders>
              <w:bottom w:val="single" w:sz="8" w:color="CCEEFF"/>
            </w:tcBorders>
          </w:tcPr>
          <w:p>
            <w:pPr>
              <w:ind w:left="100"/>
              <w:spacing w:after="0" w:line="149" w:lineRule="exact"/>
              <w:rPr>
                <w:sz w:val="20"/>
                <w:szCs w:val="20"/>
                <w:color w:val="auto"/>
              </w:rPr>
            </w:pPr>
            <w:r>
              <w:rPr>
                <w:rFonts w:ascii="Arial" w:cs="Arial" w:eastAsia="Arial" w:hAnsi="Arial"/>
                <w:sz w:val="14"/>
                <w:szCs w:val="14"/>
                <w:color w:val="auto"/>
              </w:rPr>
              <w:t>Noncontrolling interest</w:t>
            </w:r>
          </w:p>
        </w:tc>
        <w:tc>
          <w:tcPr>
            <w:tcW w:w="5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23,034</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22,836</w:t>
            </w:r>
          </w:p>
        </w:tc>
        <w:tc>
          <w:tcPr>
            <w:tcW w:w="2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14,926</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940" w:type="dxa"/>
            <w:vAlign w:val="bottom"/>
            <w:tcBorders>
              <w:bottom w:val="single" w:sz="8" w:color="CCEEFF"/>
            </w:tcBorders>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SHAREHOLDERS’ EQUITY</w:t>
            </w:r>
          </w:p>
        </w:tc>
        <w:tc>
          <w:tcPr>
            <w:tcW w:w="5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1,759,563</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1,483,152</w:t>
            </w:r>
          </w:p>
        </w:tc>
        <w:tc>
          <w:tcPr>
            <w:tcW w:w="2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1,339,325</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940" w:type="dxa"/>
            <w:vAlign w:val="bottom"/>
          </w:tcPr>
          <w:p>
            <w:pPr>
              <w:spacing w:after="0" w:line="135" w:lineRule="exact"/>
              <w:rPr>
                <w:sz w:val="20"/>
                <w:szCs w:val="20"/>
                <w:color w:val="auto"/>
              </w:rPr>
            </w:pPr>
            <w:r>
              <w:rPr>
                <w:rFonts w:ascii="Arial" w:cs="Arial" w:eastAsia="Arial" w:hAnsi="Arial"/>
                <w:sz w:val="14"/>
                <w:szCs w:val="14"/>
                <w:color w:val="auto"/>
              </w:rPr>
              <w:t>TOTAL LIABILITIES AND SHAREHOLDERS’ EQUITY</w:t>
            </w:r>
          </w:p>
        </w:tc>
        <w:tc>
          <w:tcPr>
            <w:tcW w:w="540" w:type="dxa"/>
            <w:vAlign w:val="bottom"/>
          </w:tcPr>
          <w:p>
            <w:pPr>
              <w:spacing w:after="0"/>
              <w:rPr>
                <w:sz w:val="11"/>
                <w:szCs w:val="11"/>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3,228,283</w:t>
            </w:r>
          </w:p>
        </w:tc>
        <w:tc>
          <w:tcPr>
            <w:tcW w:w="220" w:type="dxa"/>
            <w:vAlign w:val="bottom"/>
          </w:tcPr>
          <w:p>
            <w:pPr>
              <w:spacing w:after="0"/>
              <w:rPr>
                <w:sz w:val="11"/>
                <w:szCs w:val="11"/>
                <w:color w:val="auto"/>
              </w:rPr>
            </w:pPr>
          </w:p>
        </w:tc>
        <w:tc>
          <w:tcPr>
            <w:tcW w:w="200" w:type="dxa"/>
            <w:vAlign w:val="bottom"/>
            <w:tcBorders>
              <w:bottom w:val="single" w:sz="8" w:color="auto"/>
            </w:tcBorders>
          </w:tcPr>
          <w:p>
            <w:pPr>
              <w:jc w:val="right"/>
              <w:ind w:right="78"/>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2,404,891</w:t>
            </w: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2,058,608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See notes to consolidated condensed financial statements</w:t>
      </w:r>
      <w:r>
        <w:rPr>
          <w:rFonts w:ascii="Arial" w:cs="Arial" w:eastAsia="Arial" w:hAnsi="Arial"/>
          <w:sz w:val="17"/>
          <w:szCs w:val="17"/>
          <w:color w:val="auto"/>
        </w:rPr>
        <w:t>.</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ind w:left="60" w:right="79"/>
        <w:spacing w:after="0" w:line="275" w:lineRule="auto"/>
        <w:rPr>
          <w:sz w:val="20"/>
          <w:szCs w:val="20"/>
          <w:color w:val="auto"/>
        </w:rPr>
      </w:pPr>
      <w:r>
        <w:rPr>
          <w:rFonts w:ascii="Arial" w:cs="Arial" w:eastAsia="Arial" w:hAnsi="Arial"/>
          <w:sz w:val="18"/>
          <w:szCs w:val="18"/>
          <w:b w:val="1"/>
          <w:bCs w:val="1"/>
          <w:color w:val="auto"/>
        </w:rPr>
        <w:t>CONDENSED CONSOLIDATED STATEMENTS OF EARNINGS AND COMPREHENSIVE INCOME (Unaudited)</w:t>
      </w:r>
    </w:p>
    <w:p>
      <w:pPr>
        <w:spacing w:after="0" w:line="399"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4300" w:type="dxa"/>
            <w:vAlign w:val="bottom"/>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40" w:type="dxa"/>
            <w:vAlign w:val="bottom"/>
          </w:tcPr>
          <w:p>
            <w:pPr>
              <w:spacing w:after="0"/>
              <w:rPr>
                <w:sz w:val="16"/>
                <w:szCs w:val="16"/>
                <w:color w:val="auto"/>
              </w:rPr>
            </w:pPr>
          </w:p>
        </w:tc>
        <w:tc>
          <w:tcPr>
            <w:tcW w:w="2060" w:type="dxa"/>
            <w:vAlign w:val="bottom"/>
            <w:gridSpan w:val="3"/>
            <w:vMerge w:val="restart"/>
          </w:tcPr>
          <w:p>
            <w:pPr>
              <w:jc w:val="right"/>
              <w:ind w:right="292"/>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226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1"/>
        </w:trPr>
        <w:tc>
          <w:tcPr>
            <w:tcW w:w="4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22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Borders>
              <w:top w:val="single" w:sz="8" w:color="auto"/>
            </w:tcBorders>
          </w:tcPr>
          <w:p>
            <w:pPr>
              <w:jc w:val="right"/>
              <w:ind w:right="135"/>
              <w:spacing w:after="0" w:line="126" w:lineRule="exact"/>
              <w:rPr>
                <w:sz w:val="20"/>
                <w:szCs w:val="20"/>
                <w:color w:val="auto"/>
              </w:rPr>
            </w:pPr>
            <w:r>
              <w:rPr>
                <w:rFonts w:ascii="Arial" w:cs="Arial" w:eastAsia="Arial" w:hAnsi="Arial"/>
                <w:sz w:val="14"/>
                <w:szCs w:val="14"/>
                <w:b w:val="1"/>
                <w:bCs w:val="1"/>
                <w:color w:val="auto"/>
              </w:rPr>
              <w:t>June 26,</w:t>
            </w: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132"/>
              <w:spacing w:after="0" w:line="126" w:lineRule="exact"/>
              <w:rPr>
                <w:sz w:val="20"/>
                <w:szCs w:val="20"/>
                <w:color w:val="auto"/>
              </w:rPr>
            </w:pPr>
            <w:r>
              <w:rPr>
                <w:rFonts w:ascii="Arial" w:cs="Arial" w:eastAsia="Arial" w:hAnsi="Arial"/>
                <w:sz w:val="14"/>
                <w:szCs w:val="14"/>
                <w:b w:val="1"/>
                <w:bCs w:val="1"/>
                <w:color w:val="auto"/>
              </w:rPr>
              <w:t>June 27,</w:t>
            </w:r>
          </w:p>
        </w:tc>
        <w:tc>
          <w:tcPr>
            <w:tcW w:w="140" w:type="dxa"/>
            <w:vAlign w:val="bottom"/>
          </w:tcPr>
          <w:p>
            <w:pPr>
              <w:spacing w:after="0"/>
              <w:rPr>
                <w:sz w:val="10"/>
                <w:szCs w:val="10"/>
                <w:color w:val="auto"/>
              </w:rPr>
            </w:pPr>
          </w:p>
        </w:tc>
        <w:tc>
          <w:tcPr>
            <w:tcW w:w="940" w:type="dxa"/>
            <w:vAlign w:val="bottom"/>
            <w:tcBorders>
              <w:top w:val="single" w:sz="8" w:color="auto"/>
            </w:tcBorders>
          </w:tcPr>
          <w:p>
            <w:pPr>
              <w:jc w:val="right"/>
              <w:ind w:right="135"/>
              <w:spacing w:after="0" w:line="126" w:lineRule="exact"/>
              <w:rPr>
                <w:sz w:val="20"/>
                <w:szCs w:val="20"/>
                <w:color w:val="auto"/>
              </w:rPr>
            </w:pPr>
            <w:r>
              <w:rPr>
                <w:rFonts w:ascii="Arial" w:cs="Arial" w:eastAsia="Arial" w:hAnsi="Arial"/>
                <w:sz w:val="14"/>
                <w:szCs w:val="14"/>
                <w:b w:val="1"/>
                <w:bCs w:val="1"/>
                <w:color w:val="auto"/>
              </w:rPr>
              <w:t>June 26,</w:t>
            </w: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132"/>
              <w:spacing w:after="0" w:line="126" w:lineRule="exact"/>
              <w:rPr>
                <w:sz w:val="20"/>
                <w:szCs w:val="20"/>
                <w:color w:val="auto"/>
              </w:rPr>
            </w:pPr>
            <w:r>
              <w:rPr>
                <w:rFonts w:ascii="Arial" w:cs="Arial" w:eastAsia="Arial" w:hAnsi="Arial"/>
                <w:sz w:val="14"/>
                <w:szCs w:val="14"/>
                <w:b w:val="1"/>
                <w:bCs w:val="1"/>
                <w:color w:val="auto"/>
              </w:rPr>
              <w:t>June 27,</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4300" w:type="dxa"/>
            <w:vAlign w:val="bottom"/>
          </w:tcPr>
          <w:p>
            <w:pPr>
              <w:spacing w:after="0"/>
              <w:rPr>
                <w:sz w:val="15"/>
                <w:szCs w:val="15"/>
                <w:color w:val="auto"/>
              </w:rPr>
            </w:pPr>
          </w:p>
        </w:tc>
        <w:tc>
          <w:tcPr>
            <w:tcW w:w="1080" w:type="dxa"/>
            <w:vAlign w:val="bottom"/>
            <w:gridSpan w:val="2"/>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112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1080" w:type="dxa"/>
            <w:vAlign w:val="bottom"/>
            <w:gridSpan w:val="2"/>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112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SALES</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$ 2,700,541</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$ 1,242,001</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$ 4,525,545</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$ 2,274,063</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6"/>
                <w:szCs w:val="16"/>
                <w:color w:val="auto"/>
              </w:rPr>
              <w:t>COST OF GOODS SOLD</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2,279,247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1,037,070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3,817,697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1,901,896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GROSS PROFIT</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421,294</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204,931</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707,848</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372,167</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184,539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113,781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334,637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223,121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OTHER GAINS, NET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30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EARNINGS FROM OPERATIONS</w:t>
            </w:r>
          </w:p>
        </w:tc>
        <w:tc>
          <w:tcPr>
            <w:tcW w:w="14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236,935</w:t>
            </w:r>
          </w:p>
        </w:tc>
        <w:tc>
          <w:tcPr>
            <w:tcW w:w="18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92,359</w:t>
            </w:r>
          </w:p>
        </w:tc>
        <w:tc>
          <w:tcPr>
            <w:tcW w:w="14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374,422</w:t>
            </w:r>
          </w:p>
        </w:tc>
        <w:tc>
          <w:tcPr>
            <w:tcW w:w="18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150,990</w:t>
            </w:r>
          </w:p>
        </w:tc>
        <w:tc>
          <w:tcPr>
            <w:tcW w:w="2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7,050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6"/>
                <w:szCs w:val="16"/>
                <w:color w:val="auto"/>
              </w:rPr>
              <w:t>INTEREST AND INVESTMENT INCOME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(1,689)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(2,890)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(3,985)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EQUITY IN EARNINGS OF INVESTEE</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3,045</w:t>
            </w:r>
          </w:p>
        </w:tc>
        <w:tc>
          <w:tcPr>
            <w:tcW w:w="180" w:type="dxa"/>
            <w:vAlign w:val="bottom"/>
            <w:tcBorders>
              <w:top w:val="single" w:sz="8" w:color="CCEEFF"/>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(992)</w:t>
            </w:r>
          </w:p>
        </w:tc>
        <w:tc>
          <w:tcPr>
            <w:tcW w:w="140" w:type="dxa"/>
            <w:vAlign w:val="bottom"/>
            <w:tcBorders>
              <w:top w:val="single" w:sz="8" w:color="CCEEFF"/>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4,530</w:t>
            </w:r>
          </w:p>
        </w:tc>
        <w:tc>
          <w:tcPr>
            <w:tcW w:w="180" w:type="dxa"/>
            <w:vAlign w:val="bottom"/>
            <w:tcBorders>
              <w:top w:val="single" w:sz="8" w:color="CCEEFF"/>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3,747</w:t>
            </w:r>
          </w:p>
        </w:tc>
        <w:tc>
          <w:tcPr>
            <w:tcW w:w="2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EARNINGS BEFORE INCOME TAXES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233,890</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93,351</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369,892</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147,243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6"/>
                <w:szCs w:val="16"/>
                <w:color w:val="auto"/>
              </w:rPr>
              <w:t>INCOME TAXES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58,530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23,657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90,281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36,979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EARNINGS</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175,360</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69,694</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279,611</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110,264</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019"/>
          </w:cols>
          <w:pgMar w:left="1440" w:top="544" w:right="1440" w:bottom="1440" w:gutter="0" w:footer="0" w:header="0"/>
        </w:sectPr>
      </w:pPr>
    </w:p>
    <w:p>
      <w:pPr>
        <w:ind w:left="60" w:right="760"/>
        <w:spacing w:after="0" w:line="260" w:lineRule="auto"/>
        <w:rPr>
          <w:sz w:val="20"/>
          <w:szCs w:val="20"/>
          <w:color w:val="auto"/>
        </w:rPr>
      </w:pPr>
      <w:r>
        <w:rPr>
          <w:rFonts w:ascii="Arial" w:cs="Arial" w:eastAsia="Arial" w:hAnsi="Arial"/>
          <w:sz w:val="16"/>
          <w:szCs w:val="16"/>
          <w:color w:val="auto"/>
        </w:rPr>
        <w:t>LESS NET EARNINGS ATTRIBUTABLE TO NONCONTROLLING INTEREST</w:t>
      </w:r>
    </w:p>
    <w:p>
      <w:pPr>
        <w:ind w:left="60"/>
        <w:spacing w:after="0" w:line="288" w:lineRule="auto"/>
        <w:rPr>
          <w:sz w:val="20"/>
          <w:szCs w:val="20"/>
          <w:color w:val="auto"/>
        </w:rPr>
      </w:pPr>
      <w:r>
        <w:rPr>
          <w:rFonts w:ascii="Arial" w:cs="Arial" w:eastAsia="Arial" w:hAnsi="Arial"/>
          <w:sz w:val="16"/>
          <w:szCs w:val="16"/>
          <w:color w:val="auto"/>
        </w:rPr>
        <w:t>NET EARNINGS ATTRIBUTABLE TO CONTROLLING INTEREST</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400"/>
        <w:spacing w:after="0"/>
        <w:tabs>
          <w:tab w:leader="none" w:pos="1500" w:val="left"/>
          <w:tab w:leader="none" w:pos="2580" w:val="left"/>
          <w:tab w:leader="none" w:pos="3700" w:val="left"/>
        </w:tabs>
        <w:rPr>
          <w:sz w:val="20"/>
          <w:szCs w:val="20"/>
          <w:color w:val="auto"/>
        </w:rPr>
      </w:pPr>
      <w:r>
        <w:rPr>
          <w:rFonts w:ascii="Arial" w:cs="Arial" w:eastAsia="Arial" w:hAnsi="Arial"/>
          <w:sz w:val="18"/>
          <w:szCs w:val="18"/>
          <w:color w:val="auto"/>
        </w:rPr>
        <w:t>(1,978)</w:t>
      </w:r>
      <w:r>
        <w:rPr>
          <w:sz w:val="20"/>
          <w:szCs w:val="20"/>
          <w:color w:val="auto"/>
        </w:rPr>
        <w:tab/>
      </w:r>
      <w:r>
        <w:rPr>
          <w:rFonts w:ascii="Arial" w:cs="Arial" w:eastAsia="Arial" w:hAnsi="Arial"/>
          <w:sz w:val="18"/>
          <w:szCs w:val="18"/>
          <w:color w:val="auto"/>
        </w:rPr>
        <w:t>(3,231)</w:t>
      </w:r>
      <w:r>
        <w:rPr>
          <w:sz w:val="20"/>
          <w:szCs w:val="20"/>
          <w:color w:val="auto"/>
        </w:rPr>
        <w:tab/>
      </w:r>
      <w:r>
        <w:rPr>
          <w:rFonts w:ascii="Arial" w:cs="Arial" w:eastAsia="Arial" w:hAnsi="Arial"/>
          <w:sz w:val="18"/>
          <w:szCs w:val="18"/>
          <w:color w:val="auto"/>
        </w:rPr>
        <w:t>(2,918)</w:t>
      </w:r>
      <w:r>
        <w:rPr>
          <w:sz w:val="20"/>
          <w:szCs w:val="20"/>
          <w:color w:val="auto"/>
        </w:rPr>
        <w:tab/>
      </w:r>
      <w:r>
        <w:rPr>
          <w:rFonts w:ascii="Arial" w:cs="Arial" w:eastAsia="Arial" w:hAnsi="Arial"/>
          <w:sz w:val="16"/>
          <w:szCs w:val="16"/>
          <w:color w:val="auto"/>
        </w:rPr>
        <w:t>(3,642)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-2817495</wp:posOffset>
            </wp:positionH>
            <wp:positionV relativeFrom="paragraph">
              <wp:posOffset>14605</wp:posOffset>
            </wp:positionV>
            <wp:extent cx="5648960" cy="265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48960" cy="265430"/>
                    </a:xfrm>
                    <a:prstGeom prst="rect">
                      <a:avLst/>
                    </a:prstGeom>
                    <a:noFill/>
                  </pic:spPr>
                </pic:pic>
              </a:graphicData>
            </a:graphic>
          </wp:anchor>
        </w:drawing>
      </w:r>
    </w:p>
    <w:p>
      <w:pPr>
        <w:spacing w:after="0" w:line="178" w:lineRule="exact"/>
        <w:rPr>
          <w:sz w:val="20"/>
          <w:szCs w:val="20"/>
          <w:color w:val="auto"/>
        </w:rPr>
      </w:pPr>
    </w:p>
    <w:p>
      <w:pPr>
        <w:spacing w:after="0"/>
        <w:tabs>
          <w:tab w:leader="none" w:pos="260" w:val="left"/>
          <w:tab w:leader="none" w:pos="1100" w:val="left"/>
          <w:tab w:leader="none" w:pos="1460" w:val="left"/>
          <w:tab w:leader="none" w:pos="2180" w:val="left"/>
          <w:tab w:leader="none" w:pos="2460" w:val="left"/>
          <w:tab w:leader="none" w:pos="3300" w:val="left"/>
          <w:tab w:leader="none" w:pos="3580" w:val="left"/>
        </w:tabs>
        <w:rPr>
          <w:sz w:val="20"/>
          <w:szCs w:val="20"/>
          <w:color w:val="auto"/>
        </w:rPr>
      </w:pPr>
      <w:r>
        <w:rPr>
          <w:rFonts w:ascii="Arial" w:cs="Arial" w:eastAsia="Arial" w:hAnsi="Arial"/>
          <w:sz w:val="18"/>
          <w:szCs w:val="18"/>
          <w:color w:val="auto"/>
        </w:rPr>
        <w:t>$</w:t>
        <w:tab/>
        <w:t>173,382</w:t>
        <w:tab/>
        <w:t>$</w:t>
        <w:tab/>
        <w:t>66,463</w:t>
        <w:tab/>
        <w:t>$</w:t>
        <w:tab/>
        <w:t>276,693</w:t>
        <w:tab/>
        <w:t>$</w:t>
      </w:r>
      <w:r>
        <w:rPr>
          <w:sz w:val="20"/>
          <w:szCs w:val="20"/>
          <w:color w:val="auto"/>
        </w:rPr>
        <w:tab/>
      </w:r>
      <w:r>
        <w:rPr>
          <w:rFonts w:ascii="Arial" w:cs="Arial" w:eastAsia="Arial" w:hAnsi="Arial"/>
          <w:sz w:val="16"/>
          <w:szCs w:val="16"/>
          <w:color w:val="auto"/>
        </w:rPr>
        <w:t>106,622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31750</wp:posOffset>
            </wp:positionV>
            <wp:extent cx="27000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267" w:lineRule="exact"/>
        <w:rPr>
          <w:sz w:val="20"/>
          <w:szCs w:val="20"/>
          <w:color w:val="auto"/>
        </w:rPr>
      </w:pPr>
    </w:p>
    <w:p>
      <w:pPr>
        <w:sectPr>
          <w:pgSz w:w="11900" w:h="16838" w:orient="portrait"/>
          <w:cols w:equalWidth="0" w:num="2">
            <w:col w:w="3900" w:space="600"/>
            <w:col w:w="4519"/>
          </w:cols>
          <w:pgMar w:left="1440" w:top="544" w:right="1440" w:bottom="1440" w:gutter="0" w:footer="0" w:header="0"/>
          <w:type w:val="continuous"/>
        </w:sectPr>
      </w:pPr>
    </w:p>
    <w:p>
      <w:pPr>
        <w:spacing w:after="0" w:line="1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EARNINGS PER SHARE – BASIC</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6"/>
                <w:szCs w:val="16"/>
                <w:color w:val="auto"/>
              </w:rPr>
              <w:t>EARNINGS PER SHARE – DILUTED</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2.78</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1.08</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4.45</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8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NET EARNINGS</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175,360</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69,694</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279,611</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110,264</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COMPREHENSIVE GAIN (LOSS)</w:t>
            </w:r>
          </w:p>
        </w:tc>
        <w:tc>
          <w:tcPr>
            <w:tcW w:w="2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2,720</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2,839</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(5,717)</w:t>
            </w:r>
          </w:p>
        </w:tc>
        <w:tc>
          <w:tcPr>
            <w:tcW w:w="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COMPREHENSIVE INCOME</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178,080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72,533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280,135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104,547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180" w:type="dxa"/>
            <w:vAlign w:val="bottom"/>
          </w:tcPr>
          <w:p>
            <w:pPr>
              <w:spacing w:after="0"/>
              <w:rPr>
                <w:sz w:val="20"/>
                <w:szCs w:val="20"/>
                <w:color w:val="auto"/>
              </w:rPr>
            </w:pPr>
            <w:r>
              <w:rPr>
                <w:rFonts w:ascii="Arial" w:cs="Arial" w:eastAsia="Arial" w:hAnsi="Arial"/>
                <w:sz w:val="16"/>
                <w:szCs w:val="16"/>
                <w:color w:val="auto"/>
              </w:rPr>
              <w:t>LESS COMPREHENSIVE INCOME ATTRIBUTABLE TO</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(2,698)</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(3,356)</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(3,112)</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(1,432)</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1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NONCONTROLLING INTEREST</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418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rPr>
              <w:t>COMPREHENSIVE INCOME ATTRIBUTABLE TO</w:t>
            </w:r>
          </w:p>
        </w:tc>
        <w:tc>
          <w:tcPr>
            <w:tcW w:w="4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175,382</w:t>
            </w: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69,177</w:t>
            </w:r>
          </w:p>
        </w:tc>
        <w:tc>
          <w:tcPr>
            <w:tcW w:w="3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277,023</w:t>
            </w:r>
          </w:p>
        </w:tc>
        <w:tc>
          <w:tcPr>
            <w:tcW w:w="3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103,115</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CONTROLLING INTEREST</w:t>
            </w:r>
          </w:p>
        </w:tc>
        <w:tc>
          <w:tcPr>
            <w:tcW w:w="44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32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(in thousands, except share and per share data)</w:t>
      </w:r>
    </w:p>
    <w:tbl>
      <w:tblPr>
        <w:tblLayout w:type="fixed"/>
        <w:tblInd w:w="60" w:type="dxa"/>
        <w:tblCellMar>
          <w:top w:w="0" w:type="dxa"/>
          <w:left w:w="0" w:type="dxa"/>
          <w:bottom w:w="0" w:type="dxa"/>
          <w:right w:w="0" w:type="dxa"/>
        </w:tblCellMar>
      </w:tblPr>
      <w:tr>
        <w:trPr>
          <w:trHeight w:val="166"/>
        </w:trPr>
        <w:tc>
          <w:tcPr>
            <w:tcW w:w="3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8"/>
          </w:tcPr>
          <w:p>
            <w:pPr>
              <w:jc w:val="right"/>
              <w:ind w:right="468"/>
              <w:spacing w:after="0" w:line="159" w:lineRule="exact"/>
              <w:rPr>
                <w:sz w:val="20"/>
                <w:szCs w:val="20"/>
                <w:color w:val="auto"/>
              </w:rPr>
            </w:pPr>
            <w:r>
              <w:rPr>
                <w:rFonts w:ascii="Arial" w:cs="Arial" w:eastAsia="Arial" w:hAnsi="Arial"/>
                <w:sz w:val="14"/>
                <w:szCs w:val="14"/>
                <w:b w:val="1"/>
                <w:bCs w:val="1"/>
                <w:color w:val="auto"/>
                <w:w w:val="93"/>
              </w:rPr>
              <w:t>Controlling Interest Shareholders’ Equity</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center"/>
              <w:ind w:right="8"/>
              <w:spacing w:after="0" w:line="126"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Common</w:t>
            </w:r>
          </w:p>
        </w:tc>
        <w:tc>
          <w:tcPr>
            <w:tcW w:w="8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rPr>
              <w:t>Other</w:t>
            </w:r>
          </w:p>
        </w:tc>
        <w:tc>
          <w:tcPr>
            <w:tcW w:w="108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w w:val="92"/>
              </w:rPr>
              <w:t>Noncontrolling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33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9"/>
              </w:rPr>
              <w:t>Stock</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Earnings</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3"/>
              </w:rPr>
              <w:t>Earnings</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Interest</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on December 26, 2020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61,206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8"/>
              </w:rPr>
              <w:t>218,224</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$ 1,182,680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(1,794)</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22,836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9"/>
              </w:rPr>
              <w:t>1,483,152</w:t>
            </w:r>
          </w:p>
        </w:tc>
        <w:tc>
          <w:tcPr>
            <w:tcW w:w="0" w:type="dxa"/>
            <w:vAlign w:val="bottom"/>
          </w:tcPr>
          <w:p>
            <w:pPr>
              <w:spacing w:after="0"/>
              <w:rPr>
                <w:sz w:val="1"/>
                <w:szCs w:val="1"/>
                <w:color w:val="auto"/>
              </w:rPr>
            </w:pPr>
          </w:p>
        </w:tc>
      </w:tr>
      <w:tr>
        <w:trPr>
          <w:trHeight w:val="148"/>
        </w:trPr>
        <w:tc>
          <w:tcPr>
            <w:tcW w:w="3360" w:type="dxa"/>
            <w:vAlign w:val="bottom"/>
          </w:tcPr>
          <w:p>
            <w:pPr>
              <w:spacing w:after="0" w:line="149" w:lineRule="exact"/>
              <w:rPr>
                <w:sz w:val="20"/>
                <w:szCs w:val="20"/>
                <w:color w:val="auto"/>
              </w:rPr>
            </w:pPr>
            <w:r>
              <w:rPr>
                <w:rFonts w:ascii="Arial" w:cs="Arial" w:eastAsia="Arial" w:hAnsi="Arial"/>
                <w:sz w:val="14"/>
                <w:szCs w:val="14"/>
                <w:color w:val="auto"/>
              </w:rPr>
              <w:t>Net earnings</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103,311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940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104,251</w:t>
            </w:r>
          </w:p>
        </w:tc>
        <w:tc>
          <w:tcPr>
            <w:tcW w:w="0" w:type="dxa"/>
            <w:vAlign w:val="bottom"/>
          </w:tcPr>
          <w:p>
            <w:pPr>
              <w:spacing w:after="0"/>
              <w:rPr>
                <w:sz w:val="1"/>
                <w:szCs w:val="1"/>
                <w:color w:val="auto"/>
              </w:rPr>
            </w:pPr>
          </w:p>
        </w:tc>
      </w:tr>
      <w:tr>
        <w:trPr>
          <w:trHeight w:val="148"/>
        </w:trPr>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translation adjustment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(374)</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w:t>
            </w:r>
          </w:p>
        </w:tc>
        <w:tc>
          <w:tcPr>
            <w:tcW w:w="0" w:type="dxa"/>
            <w:vAlign w:val="bottom"/>
          </w:tcPr>
          <w:p>
            <w:pPr>
              <w:spacing w:after="0"/>
              <w:rPr>
                <w:sz w:val="1"/>
                <w:szCs w:val="1"/>
                <w:color w:val="auto"/>
              </w:rPr>
            </w:pPr>
          </w:p>
        </w:tc>
      </w:tr>
      <w:tr>
        <w:trPr>
          <w:trHeight w:val="148"/>
        </w:trPr>
        <w:tc>
          <w:tcPr>
            <w:tcW w:w="3360" w:type="dxa"/>
            <w:vAlign w:val="bottom"/>
          </w:tcPr>
          <w:p>
            <w:pPr>
              <w:spacing w:after="0" w:line="149" w:lineRule="exact"/>
              <w:rPr>
                <w:sz w:val="20"/>
                <w:szCs w:val="20"/>
                <w:color w:val="auto"/>
              </w:rPr>
            </w:pPr>
            <w:r>
              <w:rPr>
                <w:rFonts w:ascii="Arial" w:cs="Arial" w:eastAsia="Arial" w:hAnsi="Arial"/>
                <w:sz w:val="14"/>
                <w:szCs w:val="14"/>
                <w:color w:val="auto"/>
              </w:rPr>
              <w:t>Unrealized loss on debt securities</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(1,296)</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(1,296)</w:t>
            </w:r>
          </w:p>
        </w:tc>
        <w:tc>
          <w:tcPr>
            <w:tcW w:w="0" w:type="dxa"/>
            <w:vAlign w:val="bottom"/>
          </w:tcPr>
          <w:p>
            <w:pPr>
              <w:spacing w:after="0"/>
              <w:rPr>
                <w:sz w:val="1"/>
                <w:szCs w:val="1"/>
                <w:color w:val="auto"/>
              </w:rPr>
            </w:pPr>
          </w:p>
        </w:tc>
      </w:tr>
      <w:tr>
        <w:trPr>
          <w:trHeight w:val="148"/>
        </w:trPr>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to noncontrolling interest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(2,914)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(2,914)</w:t>
            </w:r>
          </w:p>
        </w:tc>
        <w:tc>
          <w:tcPr>
            <w:tcW w:w="0" w:type="dxa"/>
            <w:vAlign w:val="bottom"/>
          </w:tcPr>
          <w:p>
            <w:pPr>
              <w:spacing w:after="0"/>
              <w:rPr>
                <w:sz w:val="1"/>
                <w:szCs w:val="1"/>
                <w:color w:val="auto"/>
              </w:rPr>
            </w:pPr>
          </w:p>
        </w:tc>
      </w:tr>
      <w:tr>
        <w:trPr>
          <w:trHeight w:val="148"/>
        </w:trPr>
        <w:tc>
          <w:tcPr>
            <w:tcW w:w="3360" w:type="dxa"/>
            <w:vAlign w:val="bottom"/>
          </w:tcPr>
          <w:p>
            <w:pPr>
              <w:spacing w:after="0" w:line="149" w:lineRule="exact"/>
              <w:rPr>
                <w:sz w:val="20"/>
                <w:szCs w:val="20"/>
                <w:color w:val="auto"/>
              </w:rPr>
            </w:pPr>
            <w:r>
              <w:rPr>
                <w:rFonts w:ascii="Arial" w:cs="Arial" w:eastAsia="Arial" w:hAnsi="Arial"/>
                <w:sz w:val="14"/>
                <w:szCs w:val="14"/>
                <w:color w:val="auto"/>
              </w:rPr>
              <w:t>Cash dividends - $0.15 per share - quarterly</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(9,274)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(9,274)</w:t>
            </w:r>
          </w:p>
        </w:tc>
        <w:tc>
          <w:tcPr>
            <w:tcW w:w="0" w:type="dxa"/>
            <w:vAlign w:val="bottom"/>
          </w:tcPr>
          <w:p>
            <w:pPr>
              <w:spacing w:after="0"/>
              <w:rPr>
                <w:sz w:val="1"/>
                <w:szCs w:val="1"/>
                <w:color w:val="auto"/>
              </w:rPr>
            </w:pPr>
          </w:p>
        </w:tc>
      </w:tr>
      <w:tr>
        <w:trPr>
          <w:trHeight w:val="130"/>
        </w:trPr>
        <w:tc>
          <w:tcPr>
            <w:tcW w:w="3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5,816 shares under employee stock</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purchase plan</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0" w:type="dxa"/>
            <w:vAlign w:val="bottom"/>
          </w:tcPr>
          <w:p>
            <w:pPr>
              <w:spacing w:after="0"/>
              <w:rPr>
                <w:sz w:val="1"/>
                <w:szCs w:val="1"/>
                <w:color w:val="auto"/>
              </w:rPr>
            </w:pPr>
          </w:p>
        </w:tc>
      </w:tr>
      <w:tr>
        <w:trPr>
          <w:trHeight w:val="130"/>
        </w:trPr>
        <w:tc>
          <w:tcPr>
            <w:tcW w:w="3360" w:type="dxa"/>
            <w:vAlign w:val="bottom"/>
          </w:tcPr>
          <w:p>
            <w:pPr>
              <w:spacing w:after="0" w:line="130" w:lineRule="exact"/>
              <w:rPr>
                <w:sz w:val="20"/>
                <w:szCs w:val="20"/>
                <w:color w:val="auto"/>
              </w:rPr>
            </w:pPr>
            <w:r>
              <w:rPr>
                <w:rFonts w:ascii="Arial" w:cs="Arial" w:eastAsia="Arial" w:hAnsi="Arial"/>
                <w:sz w:val="14"/>
                <w:szCs w:val="14"/>
                <w:color w:val="auto"/>
              </w:rPr>
              <w:t>Net issuance of 536,970 shares under stock grant</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tcPr>
          <w:p>
            <w:pPr>
              <w:spacing w:after="0"/>
              <w:rPr>
                <w:sz w:val="20"/>
                <w:szCs w:val="20"/>
                <w:color w:val="auto"/>
              </w:rPr>
            </w:pPr>
            <w:r>
              <w:rPr>
                <w:rFonts w:ascii="Arial" w:cs="Arial" w:eastAsia="Arial" w:hAnsi="Arial"/>
                <w:sz w:val="14"/>
                <w:szCs w:val="14"/>
                <w:color w:val="auto"/>
              </w:rPr>
              <w:t>programs</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537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3,888</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4,430</w:t>
            </w:r>
          </w:p>
        </w:tc>
        <w:tc>
          <w:tcPr>
            <w:tcW w:w="0" w:type="dxa"/>
            <w:vAlign w:val="bottom"/>
          </w:tcPr>
          <w:p>
            <w:pPr>
              <w:spacing w:after="0"/>
              <w:rPr>
                <w:sz w:val="1"/>
                <w:szCs w:val="1"/>
                <w:color w:val="auto"/>
              </w:rPr>
            </w:pPr>
          </w:p>
        </w:tc>
      </w:tr>
      <w:tr>
        <w:trPr>
          <w:trHeight w:val="130"/>
        </w:trPr>
        <w:tc>
          <w:tcPr>
            <w:tcW w:w="3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Issuance of 89,690 shares under deferred compensation</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plans</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360" w:type="dxa"/>
            <w:vAlign w:val="bottom"/>
          </w:tcPr>
          <w:p>
            <w:pPr>
              <w:spacing w:after="0" w:line="130" w:lineRule="exact"/>
              <w:rPr>
                <w:sz w:val="20"/>
                <w:szCs w:val="20"/>
                <w:color w:val="auto"/>
              </w:rPr>
            </w:pPr>
            <w:r>
              <w:rPr>
                <w:rFonts w:ascii="Arial" w:cs="Arial" w:eastAsia="Arial" w:hAnsi="Arial"/>
                <w:sz w:val="14"/>
                <w:szCs w:val="14"/>
                <w:color w:val="auto"/>
              </w:rPr>
              <w:t>Expense associated with share-based compensation</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tcPr>
          <w:p>
            <w:pPr>
              <w:spacing w:after="0"/>
              <w:rPr>
                <w:sz w:val="20"/>
                <w:szCs w:val="20"/>
                <w:color w:val="auto"/>
              </w:rPr>
            </w:pPr>
            <w:r>
              <w:rPr>
                <w:rFonts w:ascii="Arial" w:cs="Arial" w:eastAsia="Arial" w:hAnsi="Arial"/>
                <w:sz w:val="14"/>
                <w:szCs w:val="14"/>
                <w:color w:val="auto"/>
              </w:rPr>
              <w:t>arrangements</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2,936</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2,936</w:t>
            </w:r>
          </w:p>
        </w:tc>
        <w:tc>
          <w:tcPr>
            <w:tcW w:w="0" w:type="dxa"/>
            <w:vAlign w:val="bottom"/>
          </w:tcPr>
          <w:p>
            <w:pPr>
              <w:spacing w:after="0"/>
              <w:rPr>
                <w:sz w:val="1"/>
                <w:szCs w:val="1"/>
                <w:color w:val="auto"/>
              </w:rPr>
            </w:pPr>
          </w:p>
        </w:tc>
      </w:tr>
      <w:tr>
        <w:trPr>
          <w:trHeight w:val="168"/>
        </w:trPr>
        <w:tc>
          <w:tcPr>
            <w:tcW w:w="336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Accrued expense under deferred compensation plans</w:t>
            </w:r>
          </w:p>
        </w:tc>
        <w:tc>
          <w:tcPr>
            <w:tcW w:w="1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5,795</w:t>
            </w:r>
          </w:p>
        </w:tc>
        <w:tc>
          <w:tcPr>
            <w:tcW w:w="1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5,795</w:t>
            </w:r>
          </w:p>
        </w:tc>
        <w:tc>
          <w:tcPr>
            <w:tcW w:w="0" w:type="dxa"/>
            <w:vAlign w:val="bottom"/>
          </w:tcPr>
          <w:p>
            <w:pPr>
              <w:spacing w:after="0"/>
              <w:rPr>
                <w:sz w:val="1"/>
                <w:szCs w:val="1"/>
                <w:color w:val="auto"/>
              </w:rPr>
            </w:pPr>
          </w:p>
        </w:tc>
      </w:tr>
      <w:tr>
        <w:trPr>
          <w:trHeight w:val="136"/>
        </w:trPr>
        <w:tc>
          <w:tcPr>
            <w:tcW w:w="3360" w:type="dxa"/>
            <w:vAlign w:val="bottom"/>
          </w:tcPr>
          <w:p>
            <w:pPr>
              <w:spacing w:after="0" w:line="135" w:lineRule="exact"/>
              <w:rPr>
                <w:sz w:val="20"/>
                <w:szCs w:val="20"/>
                <w:color w:val="auto"/>
              </w:rPr>
            </w:pPr>
            <w:r>
              <w:rPr>
                <w:rFonts w:ascii="Arial" w:cs="Arial" w:eastAsia="Arial" w:hAnsi="Arial"/>
                <w:sz w:val="14"/>
                <w:szCs w:val="14"/>
                <w:b w:val="1"/>
                <w:bCs w:val="1"/>
                <w:color w:val="auto"/>
              </w:rPr>
              <w:t>Balance on March 27, 2021</w:t>
            </w: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61,838</w:t>
            </w:r>
          </w:p>
        </w:tc>
        <w:tc>
          <w:tcPr>
            <w:tcW w:w="16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4"/>
                <w:szCs w:val="14"/>
                <w:b w:val="1"/>
                <w:bCs w:val="1"/>
                <w:color w:val="auto"/>
                <w:w w:val="76"/>
              </w:rPr>
              <w:t>$</w:t>
            </w:r>
          </w:p>
        </w:tc>
        <w:tc>
          <w:tcPr>
            <w:tcW w:w="5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8"/>
              </w:rPr>
              <w:t>231,111</w:t>
            </w:r>
          </w:p>
        </w:tc>
        <w:tc>
          <w:tcPr>
            <w:tcW w:w="1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1"/>
              </w:rPr>
              <w:t>$ 1,276,722</w:t>
            </w:r>
          </w:p>
        </w:tc>
        <w:tc>
          <w:tcPr>
            <w:tcW w:w="14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4"/>
                <w:szCs w:val="14"/>
                <w:b w:val="1"/>
                <w:bCs w:val="1"/>
                <w:color w:val="auto"/>
                <w:w w:val="76"/>
              </w:rPr>
              <w:t>$</w:t>
            </w:r>
          </w:p>
        </w:tc>
        <w:tc>
          <w:tcPr>
            <w:tcW w:w="9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(3,464)</w:t>
            </w:r>
          </w:p>
        </w:tc>
        <w:tc>
          <w:tcPr>
            <w:tcW w:w="140" w:type="dxa"/>
            <w:vAlign w:val="bottom"/>
          </w:tcPr>
          <w:p>
            <w:pPr>
              <w:spacing w:after="0"/>
              <w:rPr>
                <w:sz w:val="11"/>
                <w:szCs w:val="11"/>
                <w:color w:val="auto"/>
              </w:rPr>
            </w:pPr>
          </w:p>
        </w:tc>
        <w:tc>
          <w:tcPr>
            <w:tcW w:w="160" w:type="dxa"/>
            <w:vAlign w:val="bottom"/>
          </w:tcPr>
          <w:p>
            <w:pPr>
              <w:spacing w:after="0" w:line="135" w:lineRule="exact"/>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20,336</w:t>
            </w:r>
          </w:p>
        </w:tc>
        <w:tc>
          <w:tcPr>
            <w:tcW w:w="140" w:type="dxa"/>
            <w:vAlign w:val="bottom"/>
          </w:tcPr>
          <w:p>
            <w:pPr>
              <w:spacing w:after="0"/>
              <w:rPr>
                <w:sz w:val="11"/>
                <w:szCs w:val="11"/>
                <w:color w:val="auto"/>
              </w:rPr>
            </w:pPr>
          </w:p>
        </w:tc>
        <w:tc>
          <w:tcPr>
            <w:tcW w:w="12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76"/>
              </w:rPr>
              <w:t>$</w:t>
            </w:r>
          </w:p>
        </w:tc>
        <w:tc>
          <w:tcPr>
            <w:tcW w:w="7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9"/>
              </w:rPr>
              <w:t>1,586,543</w:t>
            </w:r>
          </w:p>
        </w:tc>
        <w:tc>
          <w:tcPr>
            <w:tcW w:w="0" w:type="dxa"/>
            <w:vAlign w:val="bottom"/>
          </w:tcPr>
          <w:p>
            <w:pPr>
              <w:spacing w:after="0"/>
              <w:rPr>
                <w:sz w:val="1"/>
                <w:szCs w:val="1"/>
                <w:color w:val="auto"/>
              </w:rPr>
            </w:pPr>
          </w:p>
        </w:tc>
      </w:tr>
      <w:tr>
        <w:trPr>
          <w:trHeight w:val="148"/>
        </w:trPr>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earnings</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173,382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175,360</w:t>
            </w:r>
          </w:p>
        </w:tc>
        <w:tc>
          <w:tcPr>
            <w:tcW w:w="0" w:type="dxa"/>
            <w:vAlign w:val="bottom"/>
          </w:tcPr>
          <w:p>
            <w:pPr>
              <w:spacing w:after="0"/>
              <w:rPr>
                <w:sz w:val="1"/>
                <w:szCs w:val="1"/>
                <w:color w:val="auto"/>
              </w:rPr>
            </w:pPr>
          </w:p>
        </w:tc>
      </w:tr>
      <w:tr>
        <w:trPr>
          <w:trHeight w:val="148"/>
        </w:trPr>
        <w:tc>
          <w:tcPr>
            <w:tcW w:w="3360" w:type="dxa"/>
            <w:vAlign w:val="bottom"/>
          </w:tcPr>
          <w:p>
            <w:pPr>
              <w:spacing w:after="0" w:line="149" w:lineRule="exact"/>
              <w:rPr>
                <w:sz w:val="20"/>
                <w:szCs w:val="20"/>
                <w:color w:val="auto"/>
              </w:rPr>
            </w:pPr>
            <w:r>
              <w:rPr>
                <w:rFonts w:ascii="Arial" w:cs="Arial" w:eastAsia="Arial" w:hAnsi="Arial"/>
                <w:sz w:val="14"/>
                <w:szCs w:val="14"/>
                <w:color w:val="auto"/>
              </w:rPr>
              <w:t>Foreign currency translation adjustment</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1,759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720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2,479</w:t>
            </w:r>
          </w:p>
        </w:tc>
        <w:tc>
          <w:tcPr>
            <w:tcW w:w="0" w:type="dxa"/>
            <w:vAlign w:val="bottom"/>
          </w:tcPr>
          <w:p>
            <w:pPr>
              <w:spacing w:after="0"/>
              <w:rPr>
                <w:sz w:val="1"/>
                <w:szCs w:val="1"/>
                <w:color w:val="auto"/>
              </w:rPr>
            </w:pPr>
          </w:p>
        </w:tc>
      </w:tr>
      <w:tr>
        <w:trPr>
          <w:trHeight w:val="148"/>
        </w:trPr>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Unrealized gain on debt securities</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148"/>
        </w:trPr>
        <w:tc>
          <w:tcPr>
            <w:tcW w:w="3360" w:type="dxa"/>
            <w:vAlign w:val="bottom"/>
          </w:tcPr>
          <w:p>
            <w:pPr>
              <w:spacing w:after="0" w:line="149" w:lineRule="exact"/>
              <w:rPr>
                <w:sz w:val="20"/>
                <w:szCs w:val="20"/>
                <w:color w:val="auto"/>
              </w:rPr>
            </w:pPr>
            <w:r>
              <w:rPr>
                <w:rFonts w:ascii="Arial" w:cs="Arial" w:eastAsia="Arial" w:hAnsi="Arial"/>
                <w:sz w:val="14"/>
                <w:szCs w:val="14"/>
                <w:color w:val="auto"/>
              </w:rPr>
              <w:t>Cash dividends - $0.15 per share - quarterly</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(9,276)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(9,276)</w:t>
            </w:r>
          </w:p>
        </w:tc>
        <w:tc>
          <w:tcPr>
            <w:tcW w:w="0" w:type="dxa"/>
            <w:vAlign w:val="bottom"/>
          </w:tcPr>
          <w:p>
            <w:pPr>
              <w:spacing w:after="0"/>
              <w:rPr>
                <w:sz w:val="1"/>
                <w:szCs w:val="1"/>
                <w:color w:val="auto"/>
              </w:rPr>
            </w:pPr>
          </w:p>
        </w:tc>
      </w:tr>
      <w:tr>
        <w:trPr>
          <w:trHeight w:val="149"/>
        </w:trPr>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Issuance of 9,282 shares under employee stock plans</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564</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573</w:t>
            </w:r>
          </w:p>
        </w:tc>
        <w:tc>
          <w:tcPr>
            <w:tcW w:w="0" w:type="dxa"/>
            <w:vAlign w:val="bottom"/>
          </w:tcPr>
          <w:p>
            <w:pPr>
              <w:spacing w:after="0"/>
              <w:rPr>
                <w:sz w:val="1"/>
                <w:szCs w:val="1"/>
                <w:color w:val="auto"/>
              </w:rPr>
            </w:pPr>
          </w:p>
        </w:tc>
      </w:tr>
      <w:tr>
        <w:trPr>
          <w:trHeight w:val="130"/>
        </w:trPr>
        <w:tc>
          <w:tcPr>
            <w:tcW w:w="3360" w:type="dxa"/>
            <w:vAlign w:val="bottom"/>
          </w:tcPr>
          <w:p>
            <w:pPr>
              <w:spacing w:after="0" w:line="130" w:lineRule="exact"/>
              <w:rPr>
                <w:sz w:val="20"/>
                <w:szCs w:val="20"/>
                <w:color w:val="auto"/>
              </w:rPr>
            </w:pPr>
            <w:r>
              <w:rPr>
                <w:rFonts w:ascii="Arial" w:cs="Arial" w:eastAsia="Arial" w:hAnsi="Arial"/>
                <w:sz w:val="14"/>
                <w:szCs w:val="14"/>
                <w:color w:val="auto"/>
              </w:rPr>
              <w:t>Net forfeitures of 5,718 shares under stock grant</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tcPr>
          <w:p>
            <w:pPr>
              <w:spacing w:after="0"/>
              <w:rPr>
                <w:sz w:val="20"/>
                <w:szCs w:val="20"/>
                <w:color w:val="auto"/>
              </w:rPr>
            </w:pPr>
            <w:r>
              <w:rPr>
                <w:rFonts w:ascii="Arial" w:cs="Arial" w:eastAsia="Arial" w:hAnsi="Arial"/>
                <w:sz w:val="14"/>
                <w:szCs w:val="14"/>
                <w:color w:val="auto"/>
              </w:rPr>
              <w:t>programs</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(224)</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130"/>
        </w:trPr>
        <w:tc>
          <w:tcPr>
            <w:tcW w:w="3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Issuance of 8,913 shares under deferred compensation</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plans</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360" w:type="dxa"/>
            <w:vAlign w:val="bottom"/>
          </w:tcPr>
          <w:p>
            <w:pPr>
              <w:spacing w:after="0" w:line="130" w:lineRule="exact"/>
              <w:rPr>
                <w:sz w:val="20"/>
                <w:szCs w:val="20"/>
                <w:color w:val="auto"/>
              </w:rPr>
            </w:pPr>
            <w:r>
              <w:rPr>
                <w:rFonts w:ascii="Arial" w:cs="Arial" w:eastAsia="Arial" w:hAnsi="Arial"/>
                <w:sz w:val="14"/>
                <w:szCs w:val="14"/>
                <w:color w:val="auto"/>
              </w:rPr>
              <w:t>Expense associated with share-based compensation</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tcPr>
          <w:p>
            <w:pPr>
              <w:spacing w:after="0"/>
              <w:rPr>
                <w:sz w:val="20"/>
                <w:szCs w:val="20"/>
                <w:color w:val="auto"/>
              </w:rPr>
            </w:pPr>
            <w:r>
              <w:rPr>
                <w:rFonts w:ascii="Arial" w:cs="Arial" w:eastAsia="Arial" w:hAnsi="Arial"/>
                <w:sz w:val="14"/>
                <w:szCs w:val="14"/>
                <w:color w:val="auto"/>
              </w:rPr>
              <w:t>arrangements</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2,728</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2,728</w:t>
            </w:r>
          </w:p>
        </w:tc>
        <w:tc>
          <w:tcPr>
            <w:tcW w:w="0" w:type="dxa"/>
            <w:vAlign w:val="bottom"/>
          </w:tcPr>
          <w:p>
            <w:pPr>
              <w:spacing w:after="0"/>
              <w:rPr>
                <w:sz w:val="1"/>
                <w:szCs w:val="1"/>
                <w:color w:val="auto"/>
              </w:rPr>
            </w:pPr>
          </w:p>
        </w:tc>
      </w:tr>
      <w:tr>
        <w:trPr>
          <w:trHeight w:val="168"/>
        </w:trPr>
        <w:tc>
          <w:tcPr>
            <w:tcW w:w="336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Accrued expense under deferred compensation plans</w:t>
            </w:r>
          </w:p>
        </w:tc>
        <w:tc>
          <w:tcPr>
            <w:tcW w:w="1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1,140</w:t>
            </w:r>
          </w:p>
        </w:tc>
        <w:tc>
          <w:tcPr>
            <w:tcW w:w="1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1,140</w:t>
            </w:r>
          </w:p>
        </w:tc>
        <w:tc>
          <w:tcPr>
            <w:tcW w:w="0" w:type="dxa"/>
            <w:vAlign w:val="bottom"/>
          </w:tcPr>
          <w:p>
            <w:pPr>
              <w:spacing w:after="0"/>
              <w:rPr>
                <w:sz w:val="1"/>
                <w:szCs w:val="1"/>
                <w:color w:val="auto"/>
              </w:rPr>
            </w:pPr>
          </w:p>
        </w:tc>
      </w:tr>
      <w:tr>
        <w:trPr>
          <w:trHeight w:val="173"/>
        </w:trPr>
        <w:tc>
          <w:tcPr>
            <w:tcW w:w="3360" w:type="dxa"/>
            <w:vAlign w:val="bottom"/>
          </w:tcPr>
          <w:p>
            <w:pPr>
              <w:spacing w:after="0"/>
              <w:rPr>
                <w:sz w:val="20"/>
                <w:szCs w:val="20"/>
                <w:color w:val="auto"/>
              </w:rPr>
            </w:pPr>
            <w:r>
              <w:rPr>
                <w:rFonts w:ascii="Arial" w:cs="Arial" w:eastAsia="Arial" w:hAnsi="Arial"/>
                <w:sz w:val="14"/>
                <w:szCs w:val="14"/>
                <w:b w:val="1"/>
                <w:bCs w:val="1"/>
                <w:color w:val="auto"/>
              </w:rPr>
              <w:t>Balance on June 26, 2021</w:t>
            </w: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61,851</w:t>
            </w:r>
          </w:p>
        </w:tc>
        <w:tc>
          <w:tcPr>
            <w:tcW w:w="160" w:type="dxa"/>
            <w:vAlign w:val="bottom"/>
          </w:tcPr>
          <w:p>
            <w:pPr>
              <w:spacing w:after="0"/>
              <w:rPr>
                <w:sz w:val="15"/>
                <w:szCs w:val="15"/>
                <w:color w:val="auto"/>
              </w:rPr>
            </w:pPr>
          </w:p>
        </w:tc>
        <w:tc>
          <w:tcPr>
            <w:tcW w:w="80" w:type="dxa"/>
            <w:vAlign w:val="bottom"/>
          </w:tcPr>
          <w:p>
            <w:pPr>
              <w:spacing w:after="0"/>
              <w:rPr>
                <w:sz w:val="20"/>
                <w:szCs w:val="20"/>
                <w:color w:val="auto"/>
              </w:rPr>
            </w:pPr>
            <w:r>
              <w:rPr>
                <w:rFonts w:ascii="Arial" w:cs="Arial" w:eastAsia="Arial" w:hAnsi="Arial"/>
                <w:sz w:val="14"/>
                <w:szCs w:val="14"/>
                <w:b w:val="1"/>
                <w:bCs w:val="1"/>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8"/>
              </w:rPr>
              <w:t>235,309</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91"/>
              </w:rPr>
              <w:t>$ 1,440,833</w:t>
            </w:r>
          </w:p>
        </w:tc>
        <w:tc>
          <w:tcPr>
            <w:tcW w:w="140" w:type="dxa"/>
            <w:vAlign w:val="bottom"/>
          </w:tcPr>
          <w:p>
            <w:pPr>
              <w:spacing w:after="0"/>
              <w:rPr>
                <w:sz w:val="15"/>
                <w:szCs w:val="15"/>
                <w:color w:val="auto"/>
              </w:rPr>
            </w:pPr>
          </w:p>
        </w:tc>
        <w:tc>
          <w:tcPr>
            <w:tcW w:w="80" w:type="dxa"/>
            <w:vAlign w:val="bottom"/>
          </w:tcPr>
          <w:p>
            <w:pPr>
              <w:spacing w:after="0"/>
              <w:rPr>
                <w:sz w:val="20"/>
                <w:szCs w:val="20"/>
                <w:color w:val="auto"/>
              </w:rPr>
            </w:pPr>
            <w:r>
              <w:rPr>
                <w:rFonts w:ascii="Arial" w:cs="Arial" w:eastAsia="Arial" w:hAnsi="Arial"/>
                <w:sz w:val="14"/>
                <w:szCs w:val="14"/>
                <w:b w:val="1"/>
                <w:bCs w:val="1"/>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(1,464)</w:t>
            </w:r>
          </w:p>
        </w:tc>
        <w:tc>
          <w:tcPr>
            <w:tcW w:w="140" w:type="dxa"/>
            <w:vAlign w:val="bottom"/>
          </w:tcPr>
          <w:p>
            <w:pPr>
              <w:spacing w:after="0"/>
              <w:rPr>
                <w:sz w:val="15"/>
                <w:szCs w:val="15"/>
                <w:color w:val="auto"/>
              </w:rPr>
            </w:pPr>
          </w:p>
        </w:tc>
        <w:tc>
          <w:tcPr>
            <w:tcW w:w="160" w:type="dxa"/>
            <w:vAlign w:val="bottom"/>
          </w:tcPr>
          <w:p>
            <w:pPr>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23,034</w:t>
            </w:r>
          </w:p>
        </w:tc>
        <w:tc>
          <w:tcPr>
            <w:tcW w:w="1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9"/>
              </w:rPr>
              <w:t>1,759,563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ind w:left="1520" w:right="580"/>
        <w:spacing w:after="0" w:line="282" w:lineRule="auto"/>
        <w:rPr>
          <w:sz w:val="20"/>
          <w:szCs w:val="20"/>
          <w:color w:val="auto"/>
        </w:rPr>
      </w:pPr>
      <w:r>
        <w:rPr>
          <w:rFonts w:ascii="Arial" w:cs="Arial" w:eastAsia="Arial" w:hAnsi="Arial"/>
          <w:sz w:val="18"/>
          <w:szCs w:val="18"/>
          <w:b w:val="1"/>
          <w:bCs w:val="1"/>
          <w:color w:val="auto"/>
        </w:rPr>
        <w:t>CONDENSED CONSOLIDATED STATEMENTS OF SHAREHOLDERS’ EQUITY, CONTINUED (Unaudited)</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(in thousands, except share and per share data)</w:t>
      </w:r>
    </w:p>
    <w:tbl>
      <w:tblPr>
        <w:tblLayout w:type="fixed"/>
        <w:tblInd w:w="40" w:type="dxa"/>
        <w:tblCellMar>
          <w:top w:w="0" w:type="dxa"/>
          <w:left w:w="0" w:type="dxa"/>
          <w:bottom w:w="0" w:type="dxa"/>
          <w:right w:w="0" w:type="dxa"/>
        </w:tblCellMar>
      </w:tblPr>
      <w:tr>
        <w:trPr>
          <w:trHeight w:val="166"/>
        </w:trPr>
        <w:tc>
          <w:tcPr>
            <w:tcW w:w="3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10"/>
          </w:tcPr>
          <w:p>
            <w:pPr>
              <w:jc w:val="right"/>
              <w:ind w:right="680"/>
              <w:spacing w:after="0" w:line="159" w:lineRule="exact"/>
              <w:rPr>
                <w:sz w:val="20"/>
                <w:szCs w:val="20"/>
                <w:color w:val="auto"/>
              </w:rPr>
            </w:pPr>
            <w:r>
              <w:rPr>
                <w:rFonts w:ascii="Arial" w:cs="Arial" w:eastAsia="Arial" w:hAnsi="Arial"/>
                <w:sz w:val="14"/>
                <w:szCs w:val="14"/>
                <w:b w:val="1"/>
                <w:bCs w:val="1"/>
                <w:color w:val="auto"/>
                <w:w w:val="93"/>
              </w:rPr>
              <w:t>Controlling Interest Shareholders’ Equity</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220"/>
              <w:spacing w:after="0" w:line="126"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8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2"/>
              </w:rPr>
              <w:t>Common</w:t>
            </w:r>
          </w:p>
        </w:tc>
        <w:tc>
          <w:tcPr>
            <w:tcW w:w="6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1"/>
              </w:rPr>
              <w:t>Retained</w:t>
            </w:r>
          </w:p>
        </w:tc>
        <w:tc>
          <w:tcPr>
            <w:tcW w:w="8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0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3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5"/>
                <w:szCs w:val="15"/>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Earnings</w:t>
            </w:r>
          </w:p>
        </w:tc>
        <w:tc>
          <w:tcPr>
            <w:tcW w:w="8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5"/>
                <w:szCs w:val="15"/>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Interest</w:t>
            </w: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360" w:type="dxa"/>
            <w:vAlign w:val="bottom"/>
            <w:tcBorders>
              <w:top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Balance on December 28, 2019</w:t>
            </w:r>
          </w:p>
        </w:tc>
        <w:tc>
          <w:tcPr>
            <w:tcW w:w="1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61,409</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5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8"/>
              </w:rPr>
              <w:t>192,173</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995,022</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(4,889)</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14,018</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9"/>
              </w:rPr>
              <w:t>1,257,733</w:t>
            </w:r>
          </w:p>
        </w:tc>
        <w:tc>
          <w:tcPr>
            <w:tcW w:w="0" w:type="dxa"/>
            <w:vAlign w:val="bottom"/>
          </w:tcPr>
          <w:p>
            <w:pPr>
              <w:spacing w:after="0"/>
              <w:rPr>
                <w:sz w:val="1"/>
                <w:szCs w:val="1"/>
                <w:color w:val="auto"/>
              </w:rPr>
            </w:pPr>
          </w:p>
        </w:tc>
      </w:tr>
      <w:tr>
        <w:trPr>
          <w:trHeight w:val="148"/>
        </w:trPr>
        <w:tc>
          <w:tcPr>
            <w:tcW w:w="3360" w:type="dxa"/>
            <w:vAlign w:val="bottom"/>
          </w:tcPr>
          <w:p>
            <w:pPr>
              <w:ind w:left="20"/>
              <w:spacing w:after="0" w:line="149" w:lineRule="exact"/>
              <w:rPr>
                <w:sz w:val="20"/>
                <w:szCs w:val="20"/>
                <w:color w:val="auto"/>
              </w:rPr>
            </w:pPr>
            <w:r>
              <w:rPr>
                <w:rFonts w:ascii="Arial" w:cs="Arial" w:eastAsia="Arial" w:hAnsi="Arial"/>
                <w:sz w:val="14"/>
                <w:szCs w:val="14"/>
                <w:color w:val="auto"/>
              </w:rPr>
              <w:t>Net earnings</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40,159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411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40,570</w:t>
            </w:r>
          </w:p>
        </w:tc>
        <w:tc>
          <w:tcPr>
            <w:tcW w:w="0" w:type="dxa"/>
            <w:vAlign w:val="bottom"/>
          </w:tcPr>
          <w:p>
            <w:pPr>
              <w:spacing w:after="0"/>
              <w:rPr>
                <w:sz w:val="1"/>
                <w:szCs w:val="1"/>
                <w:color w:val="auto"/>
              </w:rPr>
            </w:pPr>
          </w:p>
        </w:tc>
      </w:tr>
      <w:tr>
        <w:trPr>
          <w:trHeight w:val="148"/>
        </w:trPr>
        <w:tc>
          <w:tcPr>
            <w:tcW w:w="3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Foreign currency translation adjustment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(5,951)</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(2,335)</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(8,286)</w:t>
            </w:r>
          </w:p>
        </w:tc>
        <w:tc>
          <w:tcPr>
            <w:tcW w:w="0" w:type="dxa"/>
            <w:vAlign w:val="bottom"/>
          </w:tcPr>
          <w:p>
            <w:pPr>
              <w:spacing w:after="0"/>
              <w:rPr>
                <w:sz w:val="1"/>
                <w:szCs w:val="1"/>
                <w:color w:val="auto"/>
              </w:rPr>
            </w:pPr>
          </w:p>
        </w:tc>
      </w:tr>
      <w:tr>
        <w:trPr>
          <w:trHeight w:val="148"/>
        </w:trPr>
        <w:tc>
          <w:tcPr>
            <w:tcW w:w="3360" w:type="dxa"/>
            <w:vAlign w:val="bottom"/>
          </w:tcPr>
          <w:p>
            <w:pPr>
              <w:ind w:left="20"/>
              <w:spacing w:after="0" w:line="149" w:lineRule="exact"/>
              <w:rPr>
                <w:sz w:val="20"/>
                <w:szCs w:val="20"/>
                <w:color w:val="auto"/>
              </w:rPr>
            </w:pPr>
            <w:r>
              <w:rPr>
                <w:rFonts w:ascii="Arial" w:cs="Arial" w:eastAsia="Arial" w:hAnsi="Arial"/>
                <w:sz w:val="14"/>
                <w:szCs w:val="14"/>
                <w:color w:val="auto"/>
              </w:rPr>
              <w:t>Unrealized loss on debt securities</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(270)</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48"/>
        </w:trPr>
        <w:tc>
          <w:tcPr>
            <w:tcW w:w="3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Distributions to noncontrolling interest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(299)</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148"/>
        </w:trPr>
        <w:tc>
          <w:tcPr>
            <w:tcW w:w="3360" w:type="dxa"/>
            <w:vAlign w:val="bottom"/>
          </w:tcPr>
          <w:p>
            <w:pPr>
              <w:ind w:left="20"/>
              <w:spacing w:after="0" w:line="149" w:lineRule="exact"/>
              <w:rPr>
                <w:sz w:val="20"/>
                <w:szCs w:val="20"/>
                <w:color w:val="auto"/>
              </w:rPr>
            </w:pPr>
            <w:r>
              <w:rPr>
                <w:rFonts w:ascii="Arial" w:cs="Arial" w:eastAsia="Arial" w:hAnsi="Arial"/>
                <w:sz w:val="14"/>
                <w:szCs w:val="14"/>
                <w:color w:val="auto"/>
              </w:rPr>
              <w:t>Additional purchase of noncontrolling interest</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(225)</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49"/>
        </w:trPr>
        <w:tc>
          <w:tcPr>
            <w:tcW w:w="3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Cash dividends - $0.125 per share - quarterly</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(7,730)</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(7,730)</w:t>
            </w:r>
          </w:p>
        </w:tc>
        <w:tc>
          <w:tcPr>
            <w:tcW w:w="0" w:type="dxa"/>
            <w:vAlign w:val="bottom"/>
          </w:tcPr>
          <w:p>
            <w:pPr>
              <w:spacing w:after="0"/>
              <w:rPr>
                <w:sz w:val="1"/>
                <w:szCs w:val="1"/>
                <w:color w:val="auto"/>
              </w:rPr>
            </w:pPr>
          </w:p>
        </w:tc>
      </w:tr>
      <w:tr>
        <w:trPr>
          <w:trHeight w:val="130"/>
        </w:trPr>
        <w:tc>
          <w:tcPr>
            <w:tcW w:w="3360" w:type="dxa"/>
            <w:vAlign w:val="bottom"/>
          </w:tcPr>
          <w:p>
            <w:pPr>
              <w:ind w:left="20"/>
              <w:spacing w:after="0" w:line="130" w:lineRule="exact"/>
              <w:rPr>
                <w:sz w:val="20"/>
                <w:szCs w:val="20"/>
                <w:color w:val="auto"/>
              </w:rPr>
            </w:pPr>
            <w:r>
              <w:rPr>
                <w:rFonts w:ascii="Arial" w:cs="Arial" w:eastAsia="Arial" w:hAnsi="Arial"/>
                <w:sz w:val="14"/>
                <w:szCs w:val="14"/>
                <w:color w:val="auto"/>
              </w:rPr>
              <w:t>Issuance of 10,549 shares under employee stock</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tcPr>
          <w:p>
            <w:pPr>
              <w:ind w:left="20"/>
              <w:spacing w:after="0"/>
              <w:rPr>
                <w:sz w:val="20"/>
                <w:szCs w:val="20"/>
                <w:color w:val="auto"/>
              </w:rPr>
            </w:pPr>
            <w:r>
              <w:rPr>
                <w:rFonts w:ascii="Arial" w:cs="Arial" w:eastAsia="Arial" w:hAnsi="Arial"/>
                <w:sz w:val="14"/>
                <w:szCs w:val="14"/>
                <w:color w:val="auto"/>
              </w:rPr>
              <w:t>purchase plan</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130"/>
        </w:trPr>
        <w:tc>
          <w:tcPr>
            <w:tcW w:w="33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Net issuance of 350,124 shares under stock grant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programs</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12,454</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12,805</w:t>
            </w:r>
          </w:p>
        </w:tc>
        <w:tc>
          <w:tcPr>
            <w:tcW w:w="0" w:type="dxa"/>
            <w:vAlign w:val="bottom"/>
          </w:tcPr>
          <w:p>
            <w:pPr>
              <w:spacing w:after="0"/>
              <w:rPr>
                <w:sz w:val="1"/>
                <w:szCs w:val="1"/>
                <w:color w:val="auto"/>
              </w:rPr>
            </w:pPr>
          </w:p>
        </w:tc>
      </w:tr>
      <w:tr>
        <w:trPr>
          <w:trHeight w:val="130"/>
        </w:trPr>
        <w:tc>
          <w:tcPr>
            <w:tcW w:w="3360" w:type="dxa"/>
            <w:vAlign w:val="bottom"/>
          </w:tcPr>
          <w:p>
            <w:pPr>
              <w:ind w:left="20"/>
              <w:spacing w:after="0" w:line="130" w:lineRule="exact"/>
              <w:rPr>
                <w:sz w:val="20"/>
                <w:szCs w:val="20"/>
                <w:color w:val="auto"/>
              </w:rPr>
            </w:pPr>
            <w:r>
              <w:rPr>
                <w:rFonts w:ascii="Arial" w:cs="Arial" w:eastAsia="Arial" w:hAnsi="Arial"/>
                <w:sz w:val="14"/>
                <w:szCs w:val="14"/>
                <w:color w:val="auto"/>
                <w:w w:val="94"/>
              </w:rPr>
              <w:t>Issuance of 89,616 shares under deferred compensation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tcPr>
          <w:p>
            <w:pPr>
              <w:ind w:left="20"/>
              <w:spacing w:after="0"/>
              <w:rPr>
                <w:sz w:val="20"/>
                <w:szCs w:val="20"/>
                <w:color w:val="auto"/>
              </w:rPr>
            </w:pPr>
            <w:r>
              <w:rPr>
                <w:rFonts w:ascii="Arial" w:cs="Arial" w:eastAsia="Arial" w:hAnsi="Arial"/>
                <w:sz w:val="14"/>
                <w:szCs w:val="14"/>
                <w:color w:val="auto"/>
              </w:rPr>
              <w:t>plans</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Repurchase of 756,397 shares</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(756)</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(28,456)</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(29,212)</w:t>
            </w:r>
          </w:p>
        </w:tc>
        <w:tc>
          <w:tcPr>
            <w:tcW w:w="0" w:type="dxa"/>
            <w:vAlign w:val="bottom"/>
          </w:tcPr>
          <w:p>
            <w:pPr>
              <w:spacing w:after="0"/>
              <w:rPr>
                <w:sz w:val="1"/>
                <w:szCs w:val="1"/>
                <w:color w:val="auto"/>
              </w:rPr>
            </w:pPr>
          </w:p>
        </w:tc>
      </w:tr>
      <w:tr>
        <w:trPr>
          <w:trHeight w:val="130"/>
        </w:trPr>
        <w:tc>
          <w:tcPr>
            <w:tcW w:w="3360" w:type="dxa"/>
            <w:vAlign w:val="bottom"/>
          </w:tcPr>
          <w:p>
            <w:pPr>
              <w:ind w:left="20"/>
              <w:spacing w:after="0" w:line="130" w:lineRule="exact"/>
              <w:rPr>
                <w:sz w:val="20"/>
                <w:szCs w:val="20"/>
                <w:color w:val="auto"/>
              </w:rPr>
            </w:pPr>
            <w:r>
              <w:rPr>
                <w:rFonts w:ascii="Arial" w:cs="Arial" w:eastAsia="Arial" w:hAnsi="Arial"/>
                <w:sz w:val="14"/>
                <w:szCs w:val="14"/>
                <w:color w:val="auto"/>
              </w:rPr>
              <w:t>Expense associated with share-based compensation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tcPr>
          <w:p>
            <w:pPr>
              <w:ind w:left="20"/>
              <w:spacing w:after="0"/>
              <w:rPr>
                <w:sz w:val="20"/>
                <w:szCs w:val="20"/>
                <w:color w:val="auto"/>
              </w:rPr>
            </w:pPr>
            <w:r>
              <w:rPr>
                <w:rFonts w:ascii="Arial" w:cs="Arial" w:eastAsia="Arial" w:hAnsi="Arial"/>
                <w:sz w:val="14"/>
                <w:szCs w:val="14"/>
                <w:color w:val="auto"/>
              </w:rPr>
              <w:t>arrangements</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1,404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1,404</w:t>
            </w:r>
          </w:p>
        </w:tc>
        <w:tc>
          <w:tcPr>
            <w:tcW w:w="0" w:type="dxa"/>
            <w:vAlign w:val="bottom"/>
          </w:tcPr>
          <w:p>
            <w:pPr>
              <w:spacing w:after="0"/>
              <w:rPr>
                <w:sz w:val="1"/>
                <w:szCs w:val="1"/>
                <w:color w:val="auto"/>
              </w:rPr>
            </w:pPr>
          </w:p>
        </w:tc>
      </w:tr>
      <w:tr>
        <w:trPr>
          <w:trHeight w:val="169"/>
        </w:trPr>
        <w:tc>
          <w:tcPr>
            <w:tcW w:w="336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w w:val="99"/>
              </w:rPr>
              <w:t>Accrued expense under deferred compensation plans</w:t>
            </w:r>
          </w:p>
        </w:tc>
        <w:tc>
          <w:tcPr>
            <w:tcW w:w="1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5,343</w:t>
            </w: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5,343</w:t>
            </w:r>
          </w:p>
        </w:tc>
        <w:tc>
          <w:tcPr>
            <w:tcW w:w="0" w:type="dxa"/>
            <w:vAlign w:val="bottom"/>
          </w:tcPr>
          <w:p>
            <w:pPr>
              <w:spacing w:after="0"/>
              <w:rPr>
                <w:sz w:val="1"/>
                <w:szCs w:val="1"/>
                <w:color w:val="auto"/>
              </w:rPr>
            </w:pPr>
          </w:p>
        </w:tc>
      </w:tr>
      <w:tr>
        <w:trPr>
          <w:trHeight w:val="135"/>
        </w:trPr>
        <w:tc>
          <w:tcPr>
            <w:tcW w:w="336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Balance on March 28, 2020</w:t>
            </w:r>
          </w:p>
        </w:tc>
        <w:tc>
          <w:tcPr>
            <w:tcW w:w="12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76"/>
              </w:rPr>
              <w:t>$</w:t>
            </w:r>
          </w:p>
        </w:tc>
        <w:tc>
          <w:tcPr>
            <w:tcW w:w="56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61,102</w:t>
            </w:r>
          </w:p>
        </w:tc>
        <w:tc>
          <w:tcPr>
            <w:tcW w:w="14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4"/>
                <w:szCs w:val="14"/>
                <w:b w:val="1"/>
                <w:bCs w:val="1"/>
                <w:color w:val="auto"/>
                <w:w w:val="76"/>
              </w:rPr>
              <w:t>$</w:t>
            </w:r>
          </w:p>
        </w:tc>
        <w:tc>
          <w:tcPr>
            <w:tcW w:w="5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8"/>
              </w:rPr>
              <w:t>211,724</w:t>
            </w:r>
          </w:p>
        </w:tc>
        <w:tc>
          <w:tcPr>
            <w:tcW w:w="1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998,996</w:t>
            </w:r>
          </w:p>
        </w:tc>
        <w:tc>
          <w:tcPr>
            <w:tcW w:w="16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4"/>
                <w:szCs w:val="14"/>
                <w:b w:val="1"/>
                <w:bCs w:val="1"/>
                <w:color w:val="auto"/>
                <w:w w:val="76"/>
              </w:rPr>
              <w:t>$</w:t>
            </w:r>
          </w:p>
        </w:tc>
        <w:tc>
          <w:tcPr>
            <w:tcW w:w="8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(11,110)</w:t>
            </w:r>
          </w:p>
        </w:tc>
        <w:tc>
          <w:tcPr>
            <w:tcW w:w="160" w:type="dxa"/>
            <w:vAlign w:val="bottom"/>
          </w:tcPr>
          <w:p>
            <w:pPr>
              <w:spacing w:after="0"/>
              <w:rPr>
                <w:sz w:val="11"/>
                <w:szCs w:val="11"/>
                <w:color w:val="auto"/>
              </w:rPr>
            </w:pPr>
          </w:p>
        </w:tc>
        <w:tc>
          <w:tcPr>
            <w:tcW w:w="140" w:type="dxa"/>
            <w:vAlign w:val="bottom"/>
          </w:tcPr>
          <w:p>
            <w:pPr>
              <w:spacing w:after="0" w:line="135" w:lineRule="exact"/>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11,570</w:t>
            </w:r>
          </w:p>
        </w:tc>
        <w:tc>
          <w:tcPr>
            <w:tcW w:w="160" w:type="dxa"/>
            <w:vAlign w:val="bottom"/>
          </w:tcPr>
          <w:p>
            <w:pPr>
              <w:spacing w:after="0"/>
              <w:rPr>
                <w:sz w:val="11"/>
                <w:szCs w:val="11"/>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6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9"/>
              </w:rPr>
              <w:t>1,272,282</w:t>
            </w:r>
          </w:p>
        </w:tc>
        <w:tc>
          <w:tcPr>
            <w:tcW w:w="0" w:type="dxa"/>
            <w:vAlign w:val="bottom"/>
          </w:tcPr>
          <w:p>
            <w:pPr>
              <w:spacing w:after="0"/>
              <w:rPr>
                <w:sz w:val="1"/>
                <w:szCs w:val="1"/>
                <w:color w:val="auto"/>
              </w:rPr>
            </w:pPr>
          </w:p>
        </w:tc>
      </w:tr>
      <w:tr>
        <w:trPr>
          <w:trHeight w:val="148"/>
        </w:trPr>
        <w:tc>
          <w:tcPr>
            <w:tcW w:w="3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earnings</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66,463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69,694</w:t>
            </w:r>
          </w:p>
        </w:tc>
        <w:tc>
          <w:tcPr>
            <w:tcW w:w="0" w:type="dxa"/>
            <w:vAlign w:val="bottom"/>
          </w:tcPr>
          <w:p>
            <w:pPr>
              <w:spacing w:after="0"/>
              <w:rPr>
                <w:sz w:val="1"/>
                <w:szCs w:val="1"/>
                <w:color w:val="auto"/>
              </w:rPr>
            </w:pPr>
          </w:p>
        </w:tc>
      </w:tr>
      <w:tr>
        <w:trPr>
          <w:trHeight w:val="148"/>
        </w:trPr>
        <w:tc>
          <w:tcPr>
            <w:tcW w:w="3360" w:type="dxa"/>
            <w:vAlign w:val="bottom"/>
          </w:tcPr>
          <w:p>
            <w:pPr>
              <w:ind w:left="20"/>
              <w:spacing w:after="0" w:line="149" w:lineRule="exact"/>
              <w:rPr>
                <w:sz w:val="20"/>
                <w:szCs w:val="20"/>
                <w:color w:val="auto"/>
              </w:rPr>
            </w:pPr>
            <w:r>
              <w:rPr>
                <w:rFonts w:ascii="Arial" w:cs="Arial" w:eastAsia="Arial" w:hAnsi="Arial"/>
                <w:sz w:val="14"/>
                <w:szCs w:val="14"/>
                <w:color w:val="auto"/>
              </w:rPr>
              <w:t>Foreign currency translation adjustment</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2,026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2,151</w:t>
            </w:r>
          </w:p>
        </w:tc>
        <w:tc>
          <w:tcPr>
            <w:tcW w:w="0" w:type="dxa"/>
            <w:vAlign w:val="bottom"/>
          </w:tcPr>
          <w:p>
            <w:pPr>
              <w:spacing w:after="0"/>
              <w:rPr>
                <w:sz w:val="1"/>
                <w:szCs w:val="1"/>
                <w:color w:val="auto"/>
              </w:rPr>
            </w:pPr>
          </w:p>
        </w:tc>
      </w:tr>
      <w:tr>
        <w:trPr>
          <w:trHeight w:val="149"/>
        </w:trPr>
        <w:tc>
          <w:tcPr>
            <w:tcW w:w="3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Unrealized gain on debt securities</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688</w:t>
            </w:r>
          </w:p>
        </w:tc>
        <w:tc>
          <w:tcPr>
            <w:tcW w:w="0" w:type="dxa"/>
            <w:vAlign w:val="bottom"/>
          </w:tcPr>
          <w:p>
            <w:pPr>
              <w:spacing w:after="0"/>
              <w:rPr>
                <w:sz w:val="1"/>
                <w:szCs w:val="1"/>
                <w:color w:val="auto"/>
              </w:rPr>
            </w:pPr>
          </w:p>
        </w:tc>
      </w:tr>
      <w:tr>
        <w:trPr>
          <w:trHeight w:val="148"/>
        </w:trPr>
        <w:tc>
          <w:tcPr>
            <w:tcW w:w="3360" w:type="dxa"/>
            <w:vAlign w:val="bottom"/>
          </w:tcPr>
          <w:p>
            <w:pPr>
              <w:ind w:left="20"/>
              <w:spacing w:after="0" w:line="149" w:lineRule="exact"/>
              <w:rPr>
                <w:sz w:val="20"/>
                <w:szCs w:val="20"/>
                <w:color w:val="auto"/>
              </w:rPr>
            </w:pPr>
            <w:r>
              <w:rPr>
                <w:rFonts w:ascii="Arial" w:cs="Arial" w:eastAsia="Arial" w:hAnsi="Arial"/>
                <w:sz w:val="14"/>
                <w:szCs w:val="14"/>
                <w:color w:val="auto"/>
              </w:rPr>
              <w:t>Cash dividends - $0.125 per share - quarterly</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(7,644)</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(7,644)</w:t>
            </w:r>
          </w:p>
        </w:tc>
        <w:tc>
          <w:tcPr>
            <w:tcW w:w="0" w:type="dxa"/>
            <w:vAlign w:val="bottom"/>
          </w:tcPr>
          <w:p>
            <w:pPr>
              <w:spacing w:after="0"/>
              <w:rPr>
                <w:sz w:val="1"/>
                <w:szCs w:val="1"/>
                <w:color w:val="auto"/>
              </w:rPr>
            </w:pPr>
          </w:p>
        </w:tc>
      </w:tr>
      <w:tr>
        <w:trPr>
          <w:trHeight w:val="148"/>
        </w:trPr>
        <w:tc>
          <w:tcPr>
            <w:tcW w:w="3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9"/>
              </w:rPr>
              <w:t>Issuance of 9,714 shares under employee stock plans</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377</w:t>
            </w:r>
          </w:p>
        </w:tc>
        <w:tc>
          <w:tcPr>
            <w:tcW w:w="0" w:type="dxa"/>
            <w:vAlign w:val="bottom"/>
          </w:tcPr>
          <w:p>
            <w:pPr>
              <w:spacing w:after="0"/>
              <w:rPr>
                <w:sz w:val="1"/>
                <w:szCs w:val="1"/>
                <w:color w:val="auto"/>
              </w:rPr>
            </w:pPr>
          </w:p>
        </w:tc>
      </w:tr>
      <w:tr>
        <w:trPr>
          <w:trHeight w:val="130"/>
        </w:trPr>
        <w:tc>
          <w:tcPr>
            <w:tcW w:w="3360" w:type="dxa"/>
            <w:vAlign w:val="bottom"/>
          </w:tcPr>
          <w:p>
            <w:pPr>
              <w:ind w:left="20"/>
              <w:spacing w:after="0" w:line="130" w:lineRule="exact"/>
              <w:rPr>
                <w:sz w:val="20"/>
                <w:szCs w:val="20"/>
                <w:color w:val="auto"/>
              </w:rPr>
            </w:pPr>
            <w:r>
              <w:rPr>
                <w:rFonts w:ascii="Arial" w:cs="Arial" w:eastAsia="Arial" w:hAnsi="Arial"/>
                <w:sz w:val="14"/>
                <w:szCs w:val="14"/>
                <w:color w:val="auto"/>
              </w:rPr>
              <w:t>Net issuance of 42,880 shares under stock grant</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tcPr>
          <w:p>
            <w:pPr>
              <w:ind w:left="20"/>
              <w:spacing w:after="0"/>
              <w:rPr>
                <w:sz w:val="20"/>
                <w:szCs w:val="20"/>
                <w:color w:val="auto"/>
              </w:rPr>
            </w:pPr>
            <w:r>
              <w:rPr>
                <w:rFonts w:ascii="Arial" w:cs="Arial" w:eastAsia="Arial" w:hAnsi="Arial"/>
                <w:sz w:val="14"/>
                <w:szCs w:val="14"/>
                <w:color w:val="auto"/>
              </w:rPr>
              <w:t>programs</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30"/>
        </w:trPr>
        <w:tc>
          <w:tcPr>
            <w:tcW w:w="33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4"/>
              </w:rPr>
              <w:t>Issuance of 14,106 shares under deferred compensation</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plans</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360" w:type="dxa"/>
            <w:vAlign w:val="bottom"/>
          </w:tcPr>
          <w:p>
            <w:pPr>
              <w:ind w:left="20"/>
              <w:spacing w:after="0" w:line="130" w:lineRule="exact"/>
              <w:rPr>
                <w:sz w:val="20"/>
                <w:szCs w:val="20"/>
                <w:color w:val="auto"/>
              </w:rPr>
            </w:pPr>
            <w:r>
              <w:rPr>
                <w:rFonts w:ascii="Arial" w:cs="Arial" w:eastAsia="Arial" w:hAnsi="Arial"/>
                <w:sz w:val="14"/>
                <w:szCs w:val="14"/>
                <w:color w:val="auto"/>
              </w:rPr>
              <w:t>Expense associated with share-based compensation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tcPr>
          <w:p>
            <w:pPr>
              <w:ind w:left="20"/>
              <w:spacing w:after="0"/>
              <w:rPr>
                <w:sz w:val="20"/>
                <w:szCs w:val="20"/>
                <w:color w:val="auto"/>
              </w:rPr>
            </w:pPr>
            <w:r>
              <w:rPr>
                <w:rFonts w:ascii="Arial" w:cs="Arial" w:eastAsia="Arial" w:hAnsi="Arial"/>
                <w:sz w:val="14"/>
                <w:szCs w:val="14"/>
                <w:color w:val="auto"/>
              </w:rPr>
              <w:t>arrangements</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824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824</w:t>
            </w:r>
          </w:p>
        </w:tc>
        <w:tc>
          <w:tcPr>
            <w:tcW w:w="0" w:type="dxa"/>
            <w:vAlign w:val="bottom"/>
          </w:tcPr>
          <w:p>
            <w:pPr>
              <w:spacing w:after="0"/>
              <w:rPr>
                <w:sz w:val="1"/>
                <w:szCs w:val="1"/>
                <w:color w:val="auto"/>
              </w:rPr>
            </w:pPr>
          </w:p>
        </w:tc>
      </w:tr>
      <w:tr>
        <w:trPr>
          <w:trHeight w:val="169"/>
        </w:trPr>
        <w:tc>
          <w:tcPr>
            <w:tcW w:w="336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w w:val="99"/>
              </w:rPr>
              <w:t>Accrued expense under deferred compensation plans</w:t>
            </w:r>
          </w:p>
        </w:tc>
        <w:tc>
          <w:tcPr>
            <w:tcW w:w="1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1,082</w:t>
            </w: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1,082</w:t>
            </w:r>
          </w:p>
        </w:tc>
        <w:tc>
          <w:tcPr>
            <w:tcW w:w="0" w:type="dxa"/>
            <w:vAlign w:val="bottom"/>
          </w:tcPr>
          <w:p>
            <w:pPr>
              <w:spacing w:after="0"/>
              <w:rPr>
                <w:sz w:val="1"/>
                <w:szCs w:val="1"/>
                <w:color w:val="auto"/>
              </w:rPr>
            </w:pPr>
          </w:p>
        </w:tc>
      </w:tr>
      <w:tr>
        <w:trPr>
          <w:trHeight w:val="173"/>
        </w:trPr>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Balance on June 27, 2020</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61,169</w:t>
            </w:r>
          </w:p>
        </w:tc>
        <w:tc>
          <w:tcPr>
            <w:tcW w:w="140" w:type="dxa"/>
            <w:vAlign w:val="bottom"/>
          </w:tcPr>
          <w:p>
            <w:pPr>
              <w:spacing w:after="0"/>
              <w:rPr>
                <w:sz w:val="15"/>
                <w:szCs w:val="15"/>
                <w:color w:val="auto"/>
              </w:rPr>
            </w:pPr>
          </w:p>
        </w:tc>
        <w:tc>
          <w:tcPr>
            <w:tcW w:w="80" w:type="dxa"/>
            <w:vAlign w:val="bottom"/>
          </w:tcPr>
          <w:p>
            <w:pPr>
              <w:spacing w:after="0"/>
              <w:rPr>
                <w:sz w:val="20"/>
                <w:szCs w:val="20"/>
                <w:color w:val="auto"/>
              </w:rPr>
            </w:pPr>
            <w:r>
              <w:rPr>
                <w:rFonts w:ascii="Arial" w:cs="Arial" w:eastAsia="Arial" w:hAnsi="Arial"/>
                <w:sz w:val="14"/>
                <w:szCs w:val="14"/>
                <w:b w:val="1"/>
                <w:bCs w:val="1"/>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8"/>
              </w:rPr>
              <w:t>213,809</w:t>
            </w:r>
          </w:p>
        </w:tc>
        <w:tc>
          <w:tcPr>
            <w:tcW w:w="1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6"/>
              </w:rPr>
              <w:t>1,057,817</w:t>
            </w:r>
          </w:p>
        </w:tc>
        <w:tc>
          <w:tcPr>
            <w:tcW w:w="160" w:type="dxa"/>
            <w:vAlign w:val="bottom"/>
          </w:tcPr>
          <w:p>
            <w:pPr>
              <w:spacing w:after="0"/>
              <w:rPr>
                <w:sz w:val="15"/>
                <w:szCs w:val="15"/>
                <w:color w:val="auto"/>
              </w:rPr>
            </w:pPr>
          </w:p>
        </w:tc>
        <w:tc>
          <w:tcPr>
            <w:tcW w:w="80" w:type="dxa"/>
            <w:vAlign w:val="bottom"/>
          </w:tcPr>
          <w:p>
            <w:pPr>
              <w:spacing w:after="0"/>
              <w:rPr>
                <w:sz w:val="20"/>
                <w:szCs w:val="20"/>
                <w:color w:val="auto"/>
              </w:rPr>
            </w:pPr>
            <w:r>
              <w:rPr>
                <w:rFonts w:ascii="Arial" w:cs="Arial" w:eastAsia="Arial" w:hAnsi="Arial"/>
                <w:sz w:val="14"/>
                <w:szCs w:val="14"/>
                <w:b w:val="1"/>
                <w:bCs w:val="1"/>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(8,396)</w:t>
            </w:r>
          </w:p>
        </w:tc>
        <w:tc>
          <w:tcPr>
            <w:tcW w:w="16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14,926</w:t>
            </w:r>
          </w:p>
        </w:tc>
        <w:tc>
          <w:tcPr>
            <w:tcW w:w="160" w:type="dxa"/>
            <w:vAlign w:val="bottom"/>
          </w:tcPr>
          <w:p>
            <w:pPr>
              <w:spacing w:after="0"/>
              <w:rPr>
                <w:sz w:val="15"/>
                <w:szCs w:val="15"/>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9"/>
              </w:rPr>
              <w:t>1,339,325</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4" w:lineRule="exact"/>
        <w:rPr>
          <w:sz w:val="20"/>
          <w:szCs w:val="20"/>
          <w:color w:val="auto"/>
        </w:rPr>
      </w:pPr>
    </w:p>
    <w:tbl>
      <w:tblPr>
        <w:tblLayout w:type="fixed"/>
        <w:tblInd w:w="60" w:type="dxa"/>
        <w:tblCellMar>
          <w:top w:w="0" w:type="dxa"/>
          <w:left w:w="0" w:type="dxa"/>
          <w:bottom w:w="0" w:type="dxa"/>
          <w:right w:w="0" w:type="dxa"/>
        </w:tblCellMar>
      </w:tblPr>
      <w:tr>
        <w:trPr>
          <w:trHeight w:val="178"/>
        </w:trPr>
        <w:tc>
          <w:tcPr>
            <w:tcW w:w="61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gridSpan w:val="5"/>
          </w:tcPr>
          <w:p>
            <w:pPr>
              <w:ind w:left="3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128"/>
              <w:spacing w:after="0" w:line="126" w:lineRule="exact"/>
              <w:rPr>
                <w:sz w:val="20"/>
                <w:szCs w:val="20"/>
                <w:color w:val="auto"/>
              </w:rPr>
            </w:pPr>
            <w:r>
              <w:rPr>
                <w:rFonts w:ascii="Arial" w:cs="Arial" w:eastAsia="Arial" w:hAnsi="Arial"/>
                <w:sz w:val="14"/>
                <w:szCs w:val="14"/>
                <w:b w:val="1"/>
                <w:bCs w:val="1"/>
                <w:color w:val="auto"/>
                <w:w w:val="99"/>
              </w:rPr>
              <w:t>June 26,</w:t>
            </w: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128"/>
              <w:spacing w:after="0" w:line="126" w:lineRule="exact"/>
              <w:rPr>
                <w:sz w:val="20"/>
                <w:szCs w:val="20"/>
                <w:color w:val="auto"/>
              </w:rPr>
            </w:pPr>
            <w:r>
              <w:rPr>
                <w:rFonts w:ascii="Arial" w:cs="Arial" w:eastAsia="Arial" w:hAnsi="Arial"/>
                <w:sz w:val="14"/>
                <w:szCs w:val="14"/>
                <w:b w:val="1"/>
                <w:bCs w:val="1"/>
                <w:color w:val="auto"/>
                <w:w w:val="99"/>
              </w:rPr>
              <w:t>June 27,</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08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Arial" w:cs="Arial" w:eastAsia="Arial" w:hAnsi="Arial"/>
                <w:sz w:val="14"/>
                <w:szCs w:val="14"/>
                <w:color w:val="auto"/>
              </w:rPr>
              <w:t>Net earnings</w:t>
            </w:r>
          </w:p>
        </w:tc>
        <w:tc>
          <w:tcPr>
            <w:tcW w:w="62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279,611</w:t>
            </w:r>
          </w:p>
        </w:tc>
        <w:tc>
          <w:tcPr>
            <w:tcW w:w="3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110,264</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earnings to net cash from operating activities:</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ind w:left="80"/>
              <w:spacing w:after="0" w:line="149" w:lineRule="exact"/>
              <w:rPr>
                <w:sz w:val="20"/>
                <w:szCs w:val="20"/>
                <w:color w:val="auto"/>
              </w:rPr>
            </w:pPr>
            <w:r>
              <w:rPr>
                <w:rFonts w:ascii="Arial" w:cs="Arial" w:eastAsia="Arial" w:hAnsi="Arial"/>
                <w:sz w:val="14"/>
                <w:szCs w:val="14"/>
                <w:color w:val="auto"/>
              </w:rPr>
              <w:t>Depreciation</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38,342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31,330</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Amortization of intangibles</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7,193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3,129</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ind w:left="80"/>
              <w:spacing w:after="0" w:line="149" w:lineRule="exact"/>
              <w:rPr>
                <w:sz w:val="20"/>
                <w:szCs w:val="20"/>
                <w:color w:val="auto"/>
              </w:rPr>
            </w:pPr>
            <w:r>
              <w:rPr>
                <w:rFonts w:ascii="Arial" w:cs="Arial" w:eastAsia="Arial" w:hAnsi="Arial"/>
                <w:sz w:val="14"/>
                <w:szCs w:val="14"/>
                <w:color w:val="auto"/>
              </w:rPr>
              <w:t>Expense associated with share-based and grant compensation arrangements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5,742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2,303</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Deferred income taxes</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ind w:left="80"/>
              <w:spacing w:after="0" w:line="149" w:lineRule="exact"/>
              <w:rPr>
                <w:sz w:val="20"/>
                <w:szCs w:val="20"/>
                <w:color w:val="auto"/>
              </w:rPr>
            </w:pPr>
            <w:r>
              <w:rPr>
                <w:rFonts w:ascii="Arial" w:cs="Arial" w:eastAsia="Arial" w:hAnsi="Arial"/>
                <w:sz w:val="14"/>
                <w:szCs w:val="14"/>
                <w:color w:val="auto"/>
              </w:rPr>
              <w:t>Unrealized (gain) loss on investments and other</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(2,784)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473</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Equity in earnings of investee</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ind w:left="80"/>
              <w:spacing w:after="0" w:line="149" w:lineRule="exact"/>
              <w:rPr>
                <w:sz w:val="20"/>
                <w:szCs w:val="20"/>
                <w:color w:val="auto"/>
              </w:rPr>
            </w:pPr>
            <w:r>
              <w:rPr>
                <w:rFonts w:ascii="Arial" w:cs="Arial" w:eastAsia="Arial" w:hAnsi="Arial"/>
                <w:sz w:val="14"/>
                <w:szCs w:val="14"/>
                <w:color w:val="auto"/>
              </w:rPr>
              <w:t>Net gain on sale and disposition of assets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(1,577)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(271)</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Changes in:</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ind w:left="300"/>
              <w:spacing w:after="0" w:line="149" w:lineRule="exact"/>
              <w:rPr>
                <w:sz w:val="20"/>
                <w:szCs w:val="20"/>
                <w:color w:val="auto"/>
              </w:rPr>
            </w:pPr>
            <w:r>
              <w:rPr>
                <w:rFonts w:ascii="Arial" w:cs="Arial" w:eastAsia="Arial" w:hAnsi="Arial"/>
                <w:sz w:val="14"/>
                <w:szCs w:val="14"/>
                <w:color w:val="auto"/>
              </w:rPr>
              <w:t>Accounts receivable</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(336,094)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(155,554)</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Inventories</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(329,577)</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25,983</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ind w:left="300"/>
              <w:spacing w:after="0" w:line="149" w:lineRule="exact"/>
              <w:rPr>
                <w:sz w:val="20"/>
                <w:szCs w:val="20"/>
                <w:color w:val="auto"/>
              </w:rPr>
            </w:pPr>
            <w:r>
              <w:rPr>
                <w:rFonts w:ascii="Arial" w:cs="Arial" w:eastAsia="Arial" w:hAnsi="Arial"/>
                <w:sz w:val="14"/>
                <w:szCs w:val="14"/>
                <w:color w:val="auto"/>
              </w:rPr>
              <w:t>Accounts payable and cash overdraft</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143,018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57,017</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tcBorders>
              <w:bottom w:val="single" w:sz="8" w:color="CCEEFF"/>
            </w:tcBorders>
            <w:shd w:val="clear" w:color="auto" w:fill="CCEEFF"/>
          </w:tcPr>
          <w:p>
            <w:pPr>
              <w:ind w:left="300"/>
              <w:spacing w:after="0" w:line="149" w:lineRule="exact"/>
              <w:rPr>
                <w:sz w:val="20"/>
                <w:szCs w:val="20"/>
                <w:color w:val="auto"/>
              </w:rPr>
            </w:pPr>
            <w:r>
              <w:rPr>
                <w:rFonts w:ascii="Arial" w:cs="Arial" w:eastAsia="Arial" w:hAnsi="Arial"/>
                <w:sz w:val="14"/>
                <w:szCs w:val="14"/>
                <w:color w:val="auto"/>
              </w:rPr>
              <w:t>Accrued liabilities and other</w:t>
            </w:r>
          </w:p>
        </w:tc>
        <w:tc>
          <w:tcPr>
            <w:tcW w:w="5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78,751</w:t>
            </w:r>
          </w:p>
        </w:tc>
        <w:tc>
          <w:tcPr>
            <w:tcW w:w="1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72,246</w:t>
            </w:r>
          </w:p>
        </w:tc>
        <w:tc>
          <w:tcPr>
            <w:tcW w:w="3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80" w:type="dxa"/>
            <w:vAlign w:val="bottom"/>
          </w:tcPr>
          <w:p>
            <w:pPr>
              <w:ind w:left="80"/>
              <w:spacing w:after="0" w:line="135" w:lineRule="exact"/>
              <w:rPr>
                <w:sz w:val="20"/>
                <w:szCs w:val="20"/>
                <w:color w:val="auto"/>
              </w:rPr>
            </w:pPr>
            <w:r>
              <w:rPr>
                <w:rFonts w:ascii="Arial" w:cs="Arial" w:eastAsia="Arial" w:hAnsi="Arial"/>
                <w:sz w:val="14"/>
                <w:szCs w:val="14"/>
                <w:color w:val="auto"/>
              </w:rPr>
              <w:t>NET CASH (USED IN) PROVIDED BY OPERATING ACTIVITIES</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4"/>
                <w:szCs w:val="14"/>
                <w:color w:val="auto"/>
              </w:rPr>
              <w:t>(115,733)</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4"/>
                <w:szCs w:val="14"/>
                <w:color w:val="auto"/>
              </w:rPr>
              <w:t>147,210</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Arial" w:cs="Arial" w:eastAsia="Arial" w:hAnsi="Arial"/>
                <w:sz w:val="14"/>
                <w:szCs w:val="14"/>
                <w:color w:val="auto"/>
              </w:rPr>
              <w:t>Purchases of property, plant and equipment</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(79,028)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(46,730)</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sale of property, plant and equipment</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6,673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644</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Arial" w:cs="Arial" w:eastAsia="Arial" w:hAnsi="Arial"/>
                <w:sz w:val="14"/>
                <w:szCs w:val="14"/>
                <w:color w:val="auto"/>
              </w:rPr>
              <w:t>Acquisitions and purchases of non-controlling interest, net of cash received</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(433,239)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(18,689)</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investments</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(14,581)</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(20,094)</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Arial" w:cs="Arial" w:eastAsia="Arial" w:hAnsi="Arial"/>
                <w:sz w:val="14"/>
                <w:szCs w:val="14"/>
                <w:color w:val="auto"/>
              </w:rPr>
              <w:t>Proceeds from sale of investments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6,885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18,339</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5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(708)</w:t>
            </w:r>
          </w:p>
        </w:tc>
        <w:tc>
          <w:tcPr>
            <w:tcW w:w="1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318</w:t>
            </w:r>
          </w:p>
        </w:tc>
        <w:tc>
          <w:tcPr>
            <w:tcW w:w="3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80" w:type="dxa"/>
            <w:vAlign w:val="bottom"/>
          </w:tcPr>
          <w:p>
            <w:pPr>
              <w:ind w:left="80"/>
              <w:spacing w:after="0" w:line="135" w:lineRule="exact"/>
              <w:rPr>
                <w:sz w:val="20"/>
                <w:szCs w:val="20"/>
                <w:color w:val="auto"/>
              </w:rPr>
            </w:pPr>
            <w:r>
              <w:rPr>
                <w:rFonts w:ascii="Arial" w:cs="Arial" w:eastAsia="Arial" w:hAnsi="Arial"/>
                <w:sz w:val="14"/>
                <w:szCs w:val="14"/>
                <w:color w:val="auto"/>
              </w:rPr>
              <w:t>NET CASH USED IN INVESTING ACTIVITIES</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4"/>
                <w:szCs w:val="14"/>
                <w:color w:val="auto"/>
              </w:rPr>
              <w:t>(513,998)</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4"/>
                <w:szCs w:val="14"/>
                <w:color w:val="auto"/>
              </w:rPr>
              <w:t>(66,212)</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Arial" w:cs="Arial" w:eastAsia="Arial" w:hAnsi="Arial"/>
                <w:sz w:val="14"/>
                <w:szCs w:val="14"/>
                <w:color w:val="auto"/>
              </w:rPr>
              <w:t>Borrowings under revolving credit facilities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849,944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6,759</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Repayments under revolving credit facilities</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(589,695)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(6,498)</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Arial" w:cs="Arial" w:eastAsia="Arial" w:hAnsi="Arial"/>
                <w:sz w:val="14"/>
                <w:szCs w:val="14"/>
                <w:color w:val="auto"/>
              </w:rPr>
              <w:t>Contingent consideration payments and other</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(1,464)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(3,077)</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issuance of common stock</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697</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Arial" w:cs="Arial" w:eastAsia="Arial" w:hAnsi="Arial"/>
                <w:sz w:val="14"/>
                <w:szCs w:val="14"/>
                <w:color w:val="auto"/>
              </w:rPr>
              <w:t>Dividends paid to shareholders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(18,550)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(15,374)</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to noncontrolling interest</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(2,914)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Arial" w:cs="Arial" w:eastAsia="Arial" w:hAnsi="Arial"/>
                <w:sz w:val="14"/>
                <w:szCs w:val="14"/>
                <w:color w:val="auto"/>
              </w:rPr>
              <w:t>Repurchase of common stock</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(29,212)</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5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(331)</w:t>
            </w:r>
          </w:p>
        </w:tc>
        <w:tc>
          <w:tcPr>
            <w:tcW w:w="1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3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80" w:type="dxa"/>
            <w:vAlign w:val="bottom"/>
          </w:tcPr>
          <w:p>
            <w:pPr>
              <w:ind w:left="80"/>
              <w:spacing w:after="0" w:line="135" w:lineRule="exact"/>
              <w:rPr>
                <w:sz w:val="20"/>
                <w:szCs w:val="20"/>
                <w:color w:val="auto"/>
              </w:rPr>
            </w:pPr>
            <w:r>
              <w:rPr>
                <w:rFonts w:ascii="Arial" w:cs="Arial" w:eastAsia="Arial" w:hAnsi="Arial"/>
                <w:sz w:val="14"/>
                <w:szCs w:val="14"/>
                <w:color w:val="auto"/>
              </w:rPr>
              <w:t>NET CASH PROVIDED BY (USED IN) FINANCING ACTIVITIES</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4"/>
                <w:szCs w:val="14"/>
                <w:color w:val="auto"/>
              </w:rPr>
              <w:t>237,926</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4"/>
                <w:szCs w:val="14"/>
                <w:color w:val="auto"/>
              </w:rPr>
              <w:t>(46,972)</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8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 changes on cash</w:t>
            </w:r>
          </w:p>
        </w:tc>
        <w:tc>
          <w:tcPr>
            <w:tcW w:w="5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112</w:t>
            </w:r>
          </w:p>
        </w:tc>
        <w:tc>
          <w:tcPr>
            <w:tcW w:w="1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(1,422)</w:t>
            </w:r>
          </w:p>
        </w:tc>
        <w:tc>
          <w:tcPr>
            <w:tcW w:w="3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80" w:type="dxa"/>
            <w:vAlign w:val="bottom"/>
          </w:tcPr>
          <w:p>
            <w:pPr>
              <w:spacing w:after="0" w:line="135" w:lineRule="exact"/>
              <w:rPr>
                <w:sz w:val="20"/>
                <w:szCs w:val="20"/>
                <w:color w:val="auto"/>
              </w:rPr>
            </w:pPr>
            <w:r>
              <w:rPr>
                <w:rFonts w:ascii="Arial" w:cs="Arial" w:eastAsia="Arial" w:hAnsi="Arial"/>
                <w:sz w:val="14"/>
                <w:szCs w:val="14"/>
                <w:color w:val="auto"/>
              </w:rPr>
              <w:t>NET CHANGE IN CASH AND CASH EQUIVALENTS</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4"/>
                <w:szCs w:val="14"/>
                <w:color w:val="auto"/>
              </w:rPr>
              <w:t>(391,693)</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4"/>
                <w:szCs w:val="14"/>
                <w:color w:val="auto"/>
              </w:rPr>
              <w:t>32,604</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CASH, CASH EQUIVALENTS, AND RESTRICTED CASH, BEGINNING OF YEAR</w:t>
            </w:r>
          </w:p>
        </w:tc>
        <w:tc>
          <w:tcPr>
            <w:tcW w:w="5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436,608</w:t>
            </w:r>
          </w:p>
        </w:tc>
        <w:tc>
          <w:tcPr>
            <w:tcW w:w="1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168,666</w:t>
            </w:r>
          </w:p>
        </w:tc>
        <w:tc>
          <w:tcPr>
            <w:tcW w:w="3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100" w:type="dxa"/>
            <w:vAlign w:val="bottom"/>
            <w:gridSpan w:val="2"/>
          </w:tcPr>
          <w:p>
            <w:pPr>
              <w:spacing w:after="0" w:line="135" w:lineRule="exact"/>
              <w:rPr>
                <w:sz w:val="20"/>
                <w:szCs w:val="20"/>
                <w:color w:val="auto"/>
              </w:rPr>
            </w:pPr>
            <w:r>
              <w:rPr>
                <w:rFonts w:ascii="Arial" w:cs="Arial" w:eastAsia="Arial" w:hAnsi="Arial"/>
                <w:sz w:val="14"/>
                <w:szCs w:val="14"/>
                <w:color w:val="auto"/>
              </w:rPr>
              <w:t>CASH, CASH EQUIVALENTS, AND RESTRICTED CASH, END OF PERIOD</w:t>
            </w:r>
          </w:p>
        </w:tc>
        <w:tc>
          <w:tcPr>
            <w:tcW w:w="500" w:type="dxa"/>
            <w:vAlign w:val="bottom"/>
          </w:tcPr>
          <w:p>
            <w:pPr>
              <w:spacing w:after="0"/>
              <w:rPr>
                <w:sz w:val="15"/>
                <w:szCs w:val="15"/>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44,915</w:t>
            </w:r>
          </w:p>
        </w:tc>
        <w:tc>
          <w:tcPr>
            <w:tcW w:w="180" w:type="dxa"/>
            <w:vAlign w:val="bottom"/>
          </w:tcPr>
          <w:p>
            <w:pPr>
              <w:spacing w:after="0"/>
              <w:rPr>
                <w:sz w:val="15"/>
                <w:szCs w:val="15"/>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201,270</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vMerge w:val="restart"/>
          </w:tcPr>
          <w:p>
            <w:pPr>
              <w:spacing w:after="0"/>
              <w:rPr>
                <w:sz w:val="5"/>
                <w:szCs w:val="5"/>
                <w:color w:val="auto"/>
              </w:rPr>
            </w:pPr>
          </w:p>
        </w:tc>
        <w:tc>
          <w:tcPr>
            <w:tcW w:w="60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080" w:type="dxa"/>
            <w:vAlign w:val="bottom"/>
          </w:tcPr>
          <w:p>
            <w:pPr>
              <w:spacing w:after="0" w:line="149" w:lineRule="exact"/>
              <w:rPr>
                <w:sz w:val="20"/>
                <w:szCs w:val="20"/>
                <w:color w:val="auto"/>
              </w:rPr>
            </w:pPr>
            <w:r>
              <w:rPr>
                <w:rFonts w:ascii="Arial" w:cs="Arial" w:eastAsia="Arial" w:hAnsi="Arial"/>
                <w:sz w:val="14"/>
                <w:szCs w:val="14"/>
                <w:b w:val="1"/>
                <w:bCs w:val="1"/>
                <w:color w:val="auto"/>
              </w:rPr>
              <w:t>RECONCILIATION OF CASH AND CASH EQUIVALENTS AND RESTRICTED CASH:</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62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436,507</w:t>
            </w:r>
          </w:p>
        </w:tc>
        <w:tc>
          <w:tcPr>
            <w:tcW w:w="3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168,336</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Restricted cash, beginning of period</w:t>
            </w:r>
          </w:p>
        </w:tc>
        <w:tc>
          <w:tcPr>
            <w:tcW w:w="5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101</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330</w:t>
            </w:r>
          </w:p>
        </w:tc>
        <w:tc>
          <w:tcPr>
            <w:tcW w:w="3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Cash, cash equivalents, and restricted cash, beginning of period</w:t>
            </w:r>
          </w:p>
        </w:tc>
        <w:tc>
          <w:tcPr>
            <w:tcW w:w="5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436,608</w:t>
            </w:r>
          </w:p>
        </w:tc>
        <w:tc>
          <w:tcPr>
            <w:tcW w:w="1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168,666</w:t>
            </w:r>
          </w:p>
        </w:tc>
        <w:tc>
          <w:tcPr>
            <w:tcW w:w="3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0" w:type="dxa"/>
            <w:vAlign w:val="bottom"/>
            <w:vMerge w:val="restart"/>
          </w:tcPr>
          <w:p>
            <w:pPr>
              <w:spacing w:after="0"/>
              <w:rPr>
                <w:sz w:val="5"/>
                <w:szCs w:val="5"/>
                <w:color w:val="auto"/>
              </w:rPr>
            </w:pPr>
          </w:p>
        </w:tc>
        <w:tc>
          <w:tcPr>
            <w:tcW w:w="60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end of period</w:t>
            </w:r>
          </w:p>
        </w:tc>
        <w:tc>
          <w:tcPr>
            <w:tcW w:w="62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44,286</w:t>
            </w:r>
          </w:p>
        </w:tc>
        <w:tc>
          <w:tcPr>
            <w:tcW w:w="3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200,546</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Restricted cash, end of period</w:t>
            </w:r>
          </w:p>
        </w:tc>
        <w:tc>
          <w:tcPr>
            <w:tcW w:w="5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629</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724</w:t>
            </w:r>
          </w:p>
        </w:tc>
        <w:tc>
          <w:tcPr>
            <w:tcW w:w="3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Cash, cash equivalents, and restricted cash, end of period</w:t>
            </w:r>
          </w:p>
        </w:tc>
        <w:tc>
          <w:tcPr>
            <w:tcW w:w="5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44,915</w:t>
            </w:r>
          </w:p>
        </w:tc>
        <w:tc>
          <w:tcPr>
            <w:tcW w:w="1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201,270</w:t>
            </w:r>
          </w:p>
        </w:tc>
        <w:tc>
          <w:tcPr>
            <w:tcW w:w="3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0" w:type="dxa"/>
            <w:vAlign w:val="bottom"/>
            <w:vMerge w:val="restart"/>
          </w:tcPr>
          <w:p>
            <w:pPr>
              <w:spacing w:after="0"/>
              <w:rPr>
                <w:sz w:val="5"/>
                <w:szCs w:val="5"/>
                <w:color w:val="auto"/>
              </w:rPr>
            </w:pPr>
          </w:p>
        </w:tc>
        <w:tc>
          <w:tcPr>
            <w:tcW w:w="60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INFORMATION:</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ind w:left="80"/>
              <w:spacing w:after="0" w:line="149" w:lineRule="exact"/>
              <w:rPr>
                <w:sz w:val="20"/>
                <w:szCs w:val="20"/>
                <w:color w:val="auto"/>
              </w:rPr>
            </w:pPr>
            <w:r>
              <w:rPr>
                <w:rFonts w:ascii="Arial" w:cs="Arial" w:eastAsia="Arial" w:hAnsi="Arial"/>
                <w:sz w:val="14"/>
                <w:szCs w:val="14"/>
                <w:color w:val="auto"/>
              </w:rPr>
              <w:t>Interest paid</w:t>
            </w:r>
          </w:p>
        </w:tc>
        <w:tc>
          <w:tcPr>
            <w:tcW w:w="62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7,107</w:t>
            </w:r>
          </w:p>
        </w:tc>
        <w:tc>
          <w:tcPr>
            <w:tcW w:w="3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3,793</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Income taxes paid</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73,174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1,778</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Arial" w:cs="Arial" w:eastAsia="Arial" w:hAnsi="Arial"/>
                <w:sz w:val="14"/>
                <w:szCs w:val="14"/>
                <w:color w:val="auto"/>
              </w:rPr>
              <w:t>NON-CASH FINANCING ACTIVITIES: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issued under deferred compensation plans</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6,064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5,538</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See notes to consolidated condensed financial statements</w:t>
      </w:r>
      <w:r>
        <w:rPr>
          <w:rFonts w:ascii="Arial" w:cs="Arial" w:eastAsia="Arial" w:hAnsi="Arial"/>
          <w:sz w:val="17"/>
          <w:szCs w:val="17"/>
          <w:color w:val="auto"/>
        </w:rPr>
        <w:t>.</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FINANCIAL STATEMENTS</w:t>
      </w:r>
    </w:p>
    <w:p>
      <w:pPr>
        <w:spacing w:after="0" w:line="207" w:lineRule="exact"/>
        <w:rPr>
          <w:sz w:val="20"/>
          <w:szCs w:val="20"/>
          <w:color w:val="auto"/>
        </w:rPr>
      </w:pPr>
    </w:p>
    <w:p>
      <w:pPr>
        <w:ind w:left="540" w:hanging="490"/>
        <w:spacing w:after="0"/>
        <w:tabs>
          <w:tab w:leader="none" w:pos="5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The accompanying unaudited interim consolidated condensed financial statements (the “Financial Statements”) include our accounts and those of our wholly-owned and majority-owned subsidiaries and partnerships, and have been prepared pursuant to the rules and regulations of the Securities and Exchange Commission. Accordingly, the Financial Statements do not include all the information and footnotes normally included in the annual consolidated financial statements prepared in accordance with accounting principles generally accepted in the United States. All intercompany transactions and balances have been eliminated. Certain prior year amounts have been reclassified to conform to the current year presentation.</w:t>
      </w:r>
    </w:p>
    <w:p>
      <w:pPr>
        <w:spacing w:after="0" w:line="195"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In our opinion, the Financial Statements contain all material adjustments necessary to present fairly our consolidated financial position, results of operations and cash flows for the interim periods presented. All such adjustments are of a normal recurring nature. These Financial Statements should be read in conjunction with the annual consolidated financial statements, and footnotes thereto, included in our Annual Report to Shareholders on Form 10-K for the fiscal year ended December 26, 2020.</w:t>
      </w:r>
    </w:p>
    <w:p>
      <w:pPr>
        <w:spacing w:after="0" w:line="188"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Seasonality has a significant impact on our working capital from March to August, which historically results in negative or modest cash flows from operations in our first and second quarters. Conversely, we experience a substantial decrease in working capital from September to February which typically results in significant cash flow from operations in our third and fourth quarters. For comparative purposes, we have included the June 27, 2020 balances in the accompanying unaudited condensed consolidated balance sheets.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ind w:left="540" w:hanging="490"/>
        <w:spacing w:after="0"/>
        <w:tabs>
          <w:tab w:leader="none" w:pos="5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229"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 xml:space="preserve">We apply the provisions of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to assets and liabilities measured at fair value. Assets measured at fair value are as follows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7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0"/>
              </w:rPr>
              <w:t>June 26, 2021</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2"/>
              </w:rPr>
              <w:t>June 27, 2020</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280"/>
              <w:spacing w:after="0" w:line="126" w:lineRule="exact"/>
              <w:rPr>
                <w:sz w:val="20"/>
                <w:szCs w:val="20"/>
                <w:color w:val="auto"/>
              </w:rPr>
            </w:pPr>
            <w:r>
              <w:rPr>
                <w:rFonts w:ascii="Arial" w:cs="Arial" w:eastAsia="Arial" w:hAnsi="Arial"/>
                <w:sz w:val="14"/>
                <w:szCs w:val="14"/>
                <w:b w:val="1"/>
                <w:bCs w:val="1"/>
                <w:color w:val="auto"/>
                <w:w w:val="93"/>
              </w:rPr>
              <w:t>Quoted</w:t>
            </w:r>
          </w:p>
        </w:tc>
        <w:tc>
          <w:tcPr>
            <w:tcW w:w="900" w:type="dxa"/>
            <w:vAlign w:val="bottom"/>
            <w:gridSpan w:val="3"/>
          </w:tcPr>
          <w:p>
            <w:pPr>
              <w:jc w:val="center"/>
              <w:ind w:right="140"/>
              <w:spacing w:after="0" w:line="126" w:lineRule="exact"/>
              <w:rPr>
                <w:sz w:val="20"/>
                <w:szCs w:val="20"/>
                <w:color w:val="auto"/>
              </w:rPr>
            </w:pPr>
            <w:r>
              <w:rPr>
                <w:rFonts w:ascii="Arial" w:cs="Arial" w:eastAsia="Arial" w:hAnsi="Arial"/>
                <w:sz w:val="14"/>
                <w:szCs w:val="14"/>
                <w:b w:val="1"/>
                <w:bCs w:val="1"/>
                <w:color w:val="auto"/>
                <w:w w:val="91"/>
              </w:rPr>
              <w:t>Prices with</w:t>
            </w:r>
          </w:p>
        </w:tc>
        <w:tc>
          <w:tcPr>
            <w:tcW w:w="80" w:type="dxa"/>
            <w:vAlign w:val="bottom"/>
          </w:tcPr>
          <w:p>
            <w:pPr>
              <w:spacing w:after="0"/>
              <w:rPr>
                <w:sz w:val="10"/>
                <w:szCs w:val="10"/>
                <w:color w:val="auto"/>
              </w:rPr>
            </w:pPr>
          </w:p>
        </w:tc>
        <w:tc>
          <w:tcPr>
            <w:tcW w:w="10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Prices with</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280"/>
              <w:spacing w:after="0" w:line="126" w:lineRule="exact"/>
              <w:rPr>
                <w:sz w:val="20"/>
                <w:szCs w:val="20"/>
                <w:color w:val="auto"/>
              </w:rPr>
            </w:pPr>
            <w:r>
              <w:rPr>
                <w:rFonts w:ascii="Arial" w:cs="Arial" w:eastAsia="Arial" w:hAnsi="Arial"/>
                <w:sz w:val="14"/>
                <w:szCs w:val="14"/>
                <w:b w:val="1"/>
                <w:bCs w:val="1"/>
                <w:color w:val="auto"/>
                <w:w w:val="93"/>
              </w:rPr>
              <w:t>Quoted</w:t>
            </w:r>
          </w:p>
        </w:tc>
        <w:tc>
          <w:tcPr>
            <w:tcW w:w="900" w:type="dxa"/>
            <w:vAlign w:val="bottom"/>
            <w:gridSpan w:val="3"/>
          </w:tcPr>
          <w:p>
            <w:pPr>
              <w:jc w:val="center"/>
              <w:ind w:right="140"/>
              <w:spacing w:after="0" w:line="126" w:lineRule="exact"/>
              <w:rPr>
                <w:sz w:val="20"/>
                <w:szCs w:val="20"/>
                <w:color w:val="auto"/>
              </w:rPr>
            </w:pPr>
            <w:r>
              <w:rPr>
                <w:rFonts w:ascii="Arial" w:cs="Arial" w:eastAsia="Arial" w:hAnsi="Arial"/>
                <w:sz w:val="14"/>
                <w:szCs w:val="14"/>
                <w:b w:val="1"/>
                <w:bCs w:val="1"/>
                <w:color w:val="auto"/>
                <w:w w:val="91"/>
              </w:rPr>
              <w:t>Prices with</w:t>
            </w:r>
          </w:p>
        </w:tc>
        <w:tc>
          <w:tcPr>
            <w:tcW w:w="80" w:type="dxa"/>
            <w:vAlign w:val="bottom"/>
          </w:tcPr>
          <w:p>
            <w:pPr>
              <w:spacing w:after="0"/>
              <w:rPr>
                <w:sz w:val="10"/>
                <w:szCs w:val="10"/>
                <w:color w:val="auto"/>
              </w:rPr>
            </w:pPr>
          </w:p>
        </w:tc>
        <w:tc>
          <w:tcPr>
            <w:tcW w:w="10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Prices with</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Prices in</w:t>
            </w: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Prices in</w:t>
            </w: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Active</w:t>
            </w:r>
          </w:p>
        </w:tc>
        <w:tc>
          <w:tcPr>
            <w:tcW w:w="9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Active</w:t>
            </w:r>
          </w:p>
        </w:tc>
        <w:tc>
          <w:tcPr>
            <w:tcW w:w="9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Markets</w:t>
            </w: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Markets</w:t>
            </w: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54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1760" w:type="dxa"/>
            <w:vAlign w:val="bottom"/>
          </w:tcPr>
          <w:p>
            <w:pPr>
              <w:spacing w:after="0"/>
              <w:rPr>
                <w:sz w:val="15"/>
                <w:szCs w:val="15"/>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5"/>
                <w:szCs w:val="15"/>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(Level 3)</w:t>
            </w:r>
          </w:p>
        </w:tc>
        <w:tc>
          <w:tcPr>
            <w:tcW w:w="1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5"/>
                <w:szCs w:val="15"/>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(Level 3)</w:t>
            </w:r>
          </w:p>
        </w:tc>
        <w:tc>
          <w:tcPr>
            <w:tcW w:w="1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Money market funds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2,840</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2,859</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3,084</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3,141</w:t>
            </w:r>
          </w:p>
        </w:tc>
        <w:tc>
          <w:tcPr>
            <w:tcW w:w="0" w:type="dxa"/>
            <w:vAlign w:val="bottom"/>
          </w:tcPr>
          <w:p>
            <w:pPr>
              <w:spacing w:after="0"/>
              <w:rPr>
                <w:sz w:val="1"/>
                <w:szCs w:val="1"/>
                <w:color w:val="auto"/>
              </w:rPr>
            </w:pPr>
          </w:p>
        </w:tc>
      </w:tr>
      <w:tr>
        <w:trPr>
          <w:trHeight w:val="203"/>
        </w:trPr>
        <w:tc>
          <w:tcPr>
            <w:tcW w:w="1760" w:type="dxa"/>
            <w:vAlign w:val="bottom"/>
          </w:tcPr>
          <w:p>
            <w:pPr>
              <w:ind w:left="20"/>
              <w:spacing w:after="0"/>
              <w:rPr>
                <w:sz w:val="20"/>
                <w:szCs w:val="20"/>
                <w:color w:val="auto"/>
              </w:rPr>
            </w:pPr>
            <w:r>
              <w:rPr>
                <w:rFonts w:ascii="Arial" w:cs="Arial" w:eastAsia="Arial" w:hAnsi="Arial"/>
                <w:sz w:val="17"/>
                <w:szCs w:val="17"/>
                <w:color w:val="auto"/>
              </w:rPr>
              <w:t>Fixed income funds</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244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17,610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2"/>
              </w:rPr>
              <w:t>17,854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247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16,209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2"/>
              </w:rPr>
              <w:t>16,456</w:t>
            </w:r>
          </w:p>
        </w:tc>
        <w:tc>
          <w:tcPr>
            <w:tcW w:w="0" w:type="dxa"/>
            <w:vAlign w:val="bottom"/>
          </w:tcPr>
          <w:p>
            <w:pPr>
              <w:spacing w:after="0"/>
              <w:rPr>
                <w:sz w:val="1"/>
                <w:szCs w:val="1"/>
                <w:color w:val="auto"/>
              </w:rPr>
            </w:pPr>
          </w:p>
        </w:tc>
      </w:tr>
      <w:tr>
        <w:trPr>
          <w:trHeight w:val="203"/>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Treasury securities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1760" w:type="dxa"/>
            <w:vAlign w:val="bottom"/>
          </w:tcPr>
          <w:p>
            <w:pPr>
              <w:ind w:left="20"/>
              <w:spacing w:after="0"/>
              <w:rPr>
                <w:sz w:val="20"/>
                <w:szCs w:val="20"/>
                <w:color w:val="auto"/>
              </w:rPr>
            </w:pPr>
            <w:r>
              <w:rPr>
                <w:rFonts w:ascii="Arial" w:cs="Arial" w:eastAsia="Arial" w:hAnsi="Arial"/>
                <w:sz w:val="17"/>
                <w:szCs w:val="17"/>
                <w:color w:val="auto"/>
              </w:rPr>
              <w:t>Equity securities</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6"/>
              </w:rPr>
              <w:t>19,014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2"/>
              </w:rPr>
              <w:t>19,014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9,958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9,958</w:t>
            </w:r>
          </w:p>
        </w:tc>
        <w:tc>
          <w:tcPr>
            <w:tcW w:w="0" w:type="dxa"/>
            <w:vAlign w:val="bottom"/>
          </w:tcPr>
          <w:p>
            <w:pPr>
              <w:spacing w:after="0"/>
              <w:rPr>
                <w:sz w:val="1"/>
                <w:szCs w:val="1"/>
                <w:color w:val="auto"/>
              </w:rPr>
            </w:pPr>
          </w:p>
        </w:tc>
      </w:tr>
      <w:tr>
        <w:trPr>
          <w:trHeight w:val="185"/>
        </w:trPr>
        <w:tc>
          <w:tcPr>
            <w:tcW w:w="176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color w:val="auto"/>
              </w:rPr>
              <w:t>Alternative</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investments</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3,304</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1,836</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1,836</w:t>
            </w:r>
          </w:p>
        </w:tc>
        <w:tc>
          <w:tcPr>
            <w:tcW w:w="0" w:type="dxa"/>
            <w:vAlign w:val="bottom"/>
          </w:tcPr>
          <w:p>
            <w:pPr>
              <w:spacing w:after="0"/>
              <w:rPr>
                <w:sz w:val="1"/>
                <w:szCs w:val="1"/>
                <w:color w:val="auto"/>
              </w:rPr>
            </w:pPr>
          </w:p>
        </w:tc>
      </w:tr>
      <w:tr>
        <w:trPr>
          <w:trHeight w:val="203"/>
        </w:trPr>
        <w:tc>
          <w:tcPr>
            <w:tcW w:w="1760" w:type="dxa"/>
            <w:vAlign w:val="bottom"/>
          </w:tcPr>
          <w:p>
            <w:pPr>
              <w:ind w:left="20"/>
              <w:spacing w:after="0"/>
              <w:rPr>
                <w:sz w:val="20"/>
                <w:szCs w:val="20"/>
                <w:color w:val="auto"/>
              </w:rPr>
            </w:pPr>
            <w:r>
              <w:rPr>
                <w:rFonts w:ascii="Arial" w:cs="Arial" w:eastAsia="Arial" w:hAnsi="Arial"/>
                <w:sz w:val="17"/>
                <w:szCs w:val="17"/>
                <w:color w:val="auto"/>
              </w:rPr>
              <w:t>Mutual funds:</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Domestic stock funds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10,037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10,037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6,359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6,359</w:t>
            </w:r>
          </w:p>
        </w:tc>
        <w:tc>
          <w:tcPr>
            <w:tcW w:w="0" w:type="dxa"/>
            <w:vAlign w:val="bottom"/>
          </w:tcPr>
          <w:p>
            <w:pPr>
              <w:spacing w:after="0"/>
              <w:rPr>
                <w:sz w:val="1"/>
                <w:szCs w:val="1"/>
                <w:color w:val="auto"/>
              </w:rPr>
            </w:pPr>
          </w:p>
        </w:tc>
      </w:tr>
      <w:tr>
        <w:trPr>
          <w:trHeight w:val="185"/>
        </w:trPr>
        <w:tc>
          <w:tcPr>
            <w:tcW w:w="1760" w:type="dxa"/>
            <w:vAlign w:val="bottom"/>
          </w:tcPr>
          <w:p>
            <w:pPr>
              <w:ind w:left="120"/>
              <w:spacing w:after="0" w:line="185" w:lineRule="exact"/>
              <w:rPr>
                <w:sz w:val="20"/>
                <w:szCs w:val="20"/>
                <w:color w:val="auto"/>
              </w:rPr>
            </w:pPr>
            <w:r>
              <w:rPr>
                <w:rFonts w:ascii="Arial" w:cs="Arial" w:eastAsia="Arial" w:hAnsi="Arial"/>
                <w:sz w:val="17"/>
                <w:szCs w:val="17"/>
                <w:color w:val="auto"/>
              </w:rPr>
              <w:t>International stock</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760" w:type="dxa"/>
            <w:vAlign w:val="bottom"/>
          </w:tcPr>
          <w:p>
            <w:pPr>
              <w:ind w:left="120"/>
              <w:spacing w:after="0"/>
              <w:rPr>
                <w:sz w:val="20"/>
                <w:szCs w:val="20"/>
                <w:color w:val="auto"/>
              </w:rPr>
            </w:pPr>
            <w:r>
              <w:rPr>
                <w:rFonts w:ascii="Arial" w:cs="Arial" w:eastAsia="Arial" w:hAnsi="Arial"/>
                <w:sz w:val="17"/>
                <w:szCs w:val="17"/>
                <w:color w:val="auto"/>
              </w:rPr>
              <w:t>funds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1,463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1,463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1,124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1,124</w:t>
            </w:r>
          </w:p>
        </w:tc>
        <w:tc>
          <w:tcPr>
            <w:tcW w:w="0" w:type="dxa"/>
            <w:vAlign w:val="bottom"/>
          </w:tcPr>
          <w:p>
            <w:pPr>
              <w:spacing w:after="0"/>
              <w:rPr>
                <w:sz w:val="1"/>
                <w:szCs w:val="1"/>
                <w:color w:val="auto"/>
              </w:rPr>
            </w:pPr>
          </w:p>
        </w:tc>
      </w:tr>
      <w:tr>
        <w:trPr>
          <w:trHeight w:val="205"/>
        </w:trPr>
        <w:tc>
          <w:tcPr>
            <w:tcW w:w="17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Target funds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w:t>
            </w:r>
          </w:p>
        </w:tc>
        <w:tc>
          <w:tcPr>
            <w:tcW w:w="0" w:type="dxa"/>
            <w:vAlign w:val="bottom"/>
          </w:tcPr>
          <w:p>
            <w:pPr>
              <w:spacing w:after="0"/>
              <w:rPr>
                <w:sz w:val="1"/>
                <w:szCs w:val="1"/>
                <w:color w:val="auto"/>
              </w:rPr>
            </w:pPr>
          </w:p>
        </w:tc>
      </w:tr>
      <w:tr>
        <w:trPr>
          <w:trHeight w:val="203"/>
        </w:trPr>
        <w:tc>
          <w:tcPr>
            <w:tcW w:w="1760" w:type="dxa"/>
            <w:vAlign w:val="bottom"/>
          </w:tcPr>
          <w:p>
            <w:pPr>
              <w:ind w:left="120"/>
              <w:spacing w:after="0"/>
              <w:rPr>
                <w:sz w:val="20"/>
                <w:szCs w:val="20"/>
                <w:color w:val="auto"/>
              </w:rPr>
            </w:pPr>
            <w:r>
              <w:rPr>
                <w:rFonts w:ascii="Arial" w:cs="Arial" w:eastAsia="Arial" w:hAnsi="Arial"/>
                <w:sz w:val="17"/>
                <w:szCs w:val="17"/>
                <w:color w:val="auto"/>
              </w:rPr>
              <w:t>Bond funds</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145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145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232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232</w:t>
            </w:r>
          </w:p>
        </w:tc>
        <w:tc>
          <w:tcPr>
            <w:tcW w:w="0" w:type="dxa"/>
            <w:vAlign w:val="bottom"/>
          </w:tcPr>
          <w:p>
            <w:pPr>
              <w:spacing w:after="0"/>
              <w:rPr>
                <w:sz w:val="1"/>
                <w:szCs w:val="1"/>
                <w:color w:val="auto"/>
              </w:rPr>
            </w:pPr>
          </w:p>
        </w:tc>
      </w:tr>
      <w:tr>
        <w:trPr>
          <w:trHeight w:val="223"/>
        </w:trPr>
        <w:tc>
          <w:tcPr>
            <w:tcW w:w="17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Alternative funds</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w:t>
            </w:r>
          </w:p>
        </w:tc>
        <w:tc>
          <w:tcPr>
            <w:tcW w:w="0" w:type="dxa"/>
            <w:vAlign w:val="bottom"/>
          </w:tcPr>
          <w:p>
            <w:pPr>
              <w:spacing w:after="0"/>
              <w:rPr>
                <w:sz w:val="1"/>
                <w:szCs w:val="1"/>
                <w:color w:val="auto"/>
              </w:rPr>
            </w:pPr>
          </w:p>
        </w:tc>
      </w:tr>
      <w:tr>
        <w:trPr>
          <w:trHeight w:val="197"/>
        </w:trPr>
        <w:tc>
          <w:tcPr>
            <w:tcW w:w="1760" w:type="dxa"/>
            <w:vAlign w:val="bottom"/>
            <w:tcBorders>
              <w:top w:val="single" w:sz="8" w:color="CCEEFF"/>
              <w:bottom w:val="single" w:sz="8" w:color="CCEEFF"/>
            </w:tcBorders>
          </w:tcPr>
          <w:p>
            <w:pPr>
              <w:ind w:left="20"/>
              <w:spacing w:after="0" w:line="189" w:lineRule="exact"/>
              <w:rPr>
                <w:sz w:val="20"/>
                <w:szCs w:val="20"/>
                <w:color w:val="auto"/>
              </w:rPr>
            </w:pPr>
            <w:r>
              <w:rPr>
                <w:rFonts w:ascii="Arial" w:cs="Arial" w:eastAsia="Arial" w:hAnsi="Arial"/>
                <w:sz w:val="17"/>
                <w:szCs w:val="17"/>
                <w:color w:val="auto"/>
              </w:rPr>
              <w:t>Total mutual funds</w:t>
            </w: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96"/>
              </w:rPr>
              <w:t>12,168</w:t>
            </w:r>
          </w:p>
        </w:tc>
        <w:tc>
          <w:tcPr>
            <w:tcW w:w="18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60" w:type="dxa"/>
            <w:vAlign w:val="bottom"/>
            <w:tcBorders>
              <w:top w:val="single" w:sz="8" w:color="CCEEFF"/>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80" w:type="dxa"/>
            <w:vAlign w:val="bottom"/>
            <w:tcBorders>
              <w:top w:val="single" w:sz="8" w:color="CCEEFF"/>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92"/>
              </w:rPr>
              <w:t>12,168</w:t>
            </w:r>
          </w:p>
        </w:tc>
        <w:tc>
          <w:tcPr>
            <w:tcW w:w="18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8,317</w:t>
            </w:r>
          </w:p>
        </w:tc>
        <w:tc>
          <w:tcPr>
            <w:tcW w:w="18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60" w:type="dxa"/>
            <w:vAlign w:val="bottom"/>
            <w:tcBorders>
              <w:top w:val="single" w:sz="8" w:color="CCEEFF"/>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80" w:type="dxa"/>
            <w:vAlign w:val="bottom"/>
            <w:tcBorders>
              <w:top w:val="single" w:sz="8" w:color="CCEEFF"/>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8,317</w:t>
            </w:r>
          </w:p>
        </w:tc>
        <w:tc>
          <w:tcPr>
            <w:tcW w:w="0" w:type="dxa"/>
            <w:vAlign w:val="bottom"/>
          </w:tcPr>
          <w:p>
            <w:pPr>
              <w:spacing w:after="0"/>
              <w:rPr>
                <w:sz w:val="1"/>
                <w:szCs w:val="1"/>
                <w:color w:val="auto"/>
              </w:rPr>
            </w:pPr>
          </w:p>
        </w:tc>
      </w:tr>
      <w:tr>
        <w:trPr>
          <w:trHeight w:val="203"/>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31,752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20,450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55,506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18,579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19,293</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39,708</w:t>
            </w:r>
          </w:p>
        </w:tc>
        <w:tc>
          <w:tcPr>
            <w:tcW w:w="0" w:type="dxa"/>
            <w:vAlign w:val="bottom"/>
          </w:tcPr>
          <w:p>
            <w:pPr>
              <w:spacing w:after="0"/>
              <w:rPr>
                <w:sz w:val="1"/>
                <w:szCs w:val="1"/>
                <w:color w:val="auto"/>
              </w:rPr>
            </w:pPr>
          </w:p>
        </w:tc>
      </w:tr>
      <w:tr>
        <w:trPr>
          <w:trHeight w:val="203"/>
        </w:trPr>
        <w:tc>
          <w:tcPr>
            <w:tcW w:w="1760" w:type="dxa"/>
            <w:vAlign w:val="bottom"/>
          </w:tcPr>
          <w:p>
            <w:pPr>
              <w:ind w:left="120"/>
              <w:spacing w:after="0"/>
              <w:rPr>
                <w:sz w:val="20"/>
                <w:szCs w:val="20"/>
                <w:color w:val="auto"/>
              </w:rPr>
            </w:pPr>
            <w:r>
              <w:rPr>
                <w:rFonts w:ascii="Arial" w:cs="Arial" w:eastAsia="Arial" w:hAnsi="Arial"/>
                <w:sz w:val="17"/>
                <w:szCs w:val="17"/>
                <w:color w:val="auto"/>
              </w:rPr>
              <w:t>Assets at fair value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31,752</w:t>
            </w: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20,450</w:t>
            </w:r>
          </w:p>
        </w:tc>
        <w:tc>
          <w:tcPr>
            <w:tcW w:w="160" w:type="dxa"/>
            <w:vAlign w:val="bottom"/>
          </w:tcPr>
          <w:p>
            <w:pPr>
              <w:spacing w:after="0"/>
              <w:rPr>
                <w:sz w:val="17"/>
                <w:szCs w:val="17"/>
                <w:color w:val="auto"/>
              </w:rPr>
            </w:pPr>
          </w:p>
        </w:tc>
        <w:tc>
          <w:tcPr>
            <w:tcW w:w="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3,304</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55,506</w:t>
            </w: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18,579</w:t>
            </w: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19,293</w:t>
            </w:r>
          </w:p>
        </w:tc>
        <w:tc>
          <w:tcPr>
            <w:tcW w:w="160" w:type="dxa"/>
            <w:vAlign w:val="bottom"/>
          </w:tcPr>
          <w:p>
            <w:pPr>
              <w:spacing w:after="0"/>
              <w:rPr>
                <w:sz w:val="17"/>
                <w:szCs w:val="17"/>
                <w:color w:val="auto"/>
              </w:rPr>
            </w:pPr>
          </w:p>
        </w:tc>
        <w:tc>
          <w:tcPr>
            <w:tcW w:w="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1,836</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39,708</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From the assets measured at fair value as of June 26, 2021, listed in the table above, $33.7 million of mutual funds, equity securities, and alternative investments are held in Investments, $0.1 million of money market funds are held in Cash and Cash Equivalents, $0.7 million of money market and mutual funds are held in Other Assets for our deferred compensation plan, and $18.2 million of fixed income funds and $2.8 million of money markets funds are held in Restricted Investments.</w:t>
      </w:r>
    </w:p>
    <w:p>
      <w:pPr>
        <w:spacing w:after="0" w:line="188" w:lineRule="exact"/>
        <w:rPr>
          <w:sz w:val="20"/>
          <w:szCs w:val="20"/>
          <w:color w:val="auto"/>
        </w:rPr>
      </w:pPr>
    </w:p>
    <w:p>
      <w:pPr>
        <w:jc w:val="both"/>
        <w:ind w:left="60" w:right="59" w:firstLine="492"/>
        <w:spacing w:after="0" w:line="296" w:lineRule="auto"/>
        <w:rPr>
          <w:sz w:val="20"/>
          <w:szCs w:val="20"/>
          <w:color w:val="auto"/>
        </w:rPr>
      </w:pPr>
      <w:r>
        <w:rPr>
          <w:rFonts w:ascii="Arial" w:cs="Arial" w:eastAsia="Arial" w:hAnsi="Arial"/>
          <w:sz w:val="16"/>
          <w:szCs w:val="16"/>
          <w:color w:val="auto"/>
        </w:rPr>
        <w:t xml:space="preserve">We maintain money market, mutual funds, bonds, and/or equity securities in our non-qualified deferred compensation plan, our wholly owned licensed captive insurance company, and assets held in financial institutions. These funds are valued at prices quoted in an active exchange market and are included in “Cash and Cash Equivalents”, “Investments”, “Other Assets”, and “Restricted Investments”. We have elected not to apply the fair value option under ASC 825,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to any of our financial instruments except for those expressly required by U.S. GAAP.</w:t>
      </w:r>
    </w:p>
    <w:p>
      <w:pPr>
        <w:spacing w:after="0" w:line="161"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In accordance with our investment policy, our wholly-owned captive, Ardellis Insurance Ltd. (“Ardellis”), maintains an investment portfolio, totaling $51.7 million as of June 26, 2021, which has been included in the aforementioned table of total investments. This portfolio consists of domestic and international equity securities, alternative investments, and fixed income bonds.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Ardellis’ available for sale investment portfolio, including funds held with the State of Michigan, consists of the following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380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June 26, 2021</w:t>
            </w:r>
          </w:p>
        </w:tc>
        <w:tc>
          <w:tcPr>
            <w:tcW w:w="7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June 27, 2020</w:t>
            </w: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800" w:type="dxa"/>
            <w:vAlign w:val="bottom"/>
          </w:tcPr>
          <w:p>
            <w:pPr>
              <w:spacing w:after="0"/>
              <w:rPr>
                <w:sz w:val="10"/>
                <w:szCs w:val="10"/>
                <w:color w:val="auto"/>
              </w:rPr>
            </w:pPr>
          </w:p>
        </w:tc>
        <w:tc>
          <w:tcPr>
            <w:tcW w:w="7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0"/>
                <w:szCs w:val="10"/>
                <w:color w:val="auto"/>
              </w:rPr>
            </w:pPr>
          </w:p>
        </w:tc>
        <w:tc>
          <w:tcPr>
            <w:tcW w:w="860" w:type="dxa"/>
            <w:vAlign w:val="bottom"/>
            <w:gridSpan w:val="3"/>
          </w:tcPr>
          <w:p>
            <w:pPr>
              <w:jc w:val="center"/>
              <w:ind w:right="140"/>
              <w:spacing w:after="0" w:line="126" w:lineRule="exact"/>
              <w:rPr>
                <w:sz w:val="20"/>
                <w:szCs w:val="20"/>
                <w:color w:val="auto"/>
              </w:rPr>
            </w:pPr>
            <w:r>
              <w:rPr>
                <w:rFonts w:ascii="Arial" w:cs="Arial" w:eastAsia="Arial" w:hAnsi="Arial"/>
                <w:sz w:val="14"/>
                <w:szCs w:val="14"/>
                <w:b w:val="1"/>
                <w:bCs w:val="1"/>
                <w:color w:val="auto"/>
                <w:w w:val="95"/>
              </w:rPr>
              <w:t>Unrealized</w:t>
            </w: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7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0"/>
                <w:szCs w:val="10"/>
                <w:color w:val="auto"/>
              </w:rPr>
            </w:pPr>
          </w:p>
        </w:tc>
        <w:tc>
          <w:tcPr>
            <w:tcW w:w="880" w:type="dxa"/>
            <w:vAlign w:val="bottom"/>
            <w:gridSpan w:val="3"/>
          </w:tcPr>
          <w:p>
            <w:pPr>
              <w:jc w:val="center"/>
              <w:ind w:right="140"/>
              <w:spacing w:after="0" w:line="126" w:lineRule="exact"/>
              <w:rPr>
                <w:sz w:val="20"/>
                <w:szCs w:val="20"/>
                <w:color w:val="auto"/>
              </w:rPr>
            </w:pPr>
            <w:r>
              <w:rPr>
                <w:rFonts w:ascii="Arial" w:cs="Arial" w:eastAsia="Arial" w:hAnsi="Arial"/>
                <w:sz w:val="14"/>
                <w:szCs w:val="14"/>
                <w:b w:val="1"/>
                <w:bCs w:val="1"/>
                <w:color w:val="auto"/>
                <w:w w:val="93"/>
              </w:rPr>
              <w:t>Unrealized</w:t>
            </w: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78"/>
        </w:trPr>
        <w:tc>
          <w:tcPr>
            <w:tcW w:w="38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Gain</w:t>
            </w:r>
          </w:p>
        </w:tc>
        <w:tc>
          <w:tcPr>
            <w:tcW w:w="840" w:type="dxa"/>
            <w:vAlign w:val="bottom"/>
            <w:gridSpan w:val="2"/>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Gain/(Loss)</w:t>
            </w: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Income</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$ 17,066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$ 17,854</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$ 15,497</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16,456</w:t>
            </w:r>
          </w:p>
        </w:tc>
        <w:tc>
          <w:tcPr>
            <w:tcW w:w="0" w:type="dxa"/>
            <w:vAlign w:val="bottom"/>
          </w:tcPr>
          <w:p>
            <w:pPr>
              <w:spacing w:after="0"/>
              <w:rPr>
                <w:sz w:val="1"/>
                <w:szCs w:val="1"/>
                <w:color w:val="auto"/>
              </w:rPr>
            </w:pPr>
          </w:p>
        </w:tc>
      </w:tr>
      <w:tr>
        <w:trPr>
          <w:trHeight w:val="216"/>
        </w:trPr>
        <w:tc>
          <w:tcPr>
            <w:tcW w:w="3800" w:type="dxa"/>
            <w:vAlign w:val="bottom"/>
          </w:tcPr>
          <w:p>
            <w:pPr>
              <w:ind w:left="20"/>
              <w:spacing w:after="0"/>
              <w:rPr>
                <w:sz w:val="20"/>
                <w:szCs w:val="20"/>
                <w:color w:val="auto"/>
              </w:rPr>
            </w:pPr>
            <w:r>
              <w:rPr>
                <w:rFonts w:ascii="Arial" w:cs="Arial" w:eastAsia="Arial" w:hAnsi="Arial"/>
                <w:sz w:val="18"/>
                <w:szCs w:val="18"/>
                <w:color w:val="auto"/>
              </w:rPr>
              <w:t>Equity</w:t>
            </w:r>
          </w:p>
        </w:tc>
        <w:tc>
          <w:tcPr>
            <w:tcW w:w="700" w:type="dxa"/>
            <w:vAlign w:val="bottom"/>
          </w:tcPr>
          <w:p>
            <w:pPr>
              <w:jc w:val="right"/>
              <w:spacing w:after="0"/>
              <w:rPr>
                <w:sz w:val="20"/>
                <w:szCs w:val="20"/>
                <w:color w:val="auto"/>
              </w:rPr>
            </w:pPr>
            <w:r>
              <w:rPr>
                <w:rFonts w:ascii="Arial" w:cs="Arial" w:eastAsia="Arial" w:hAnsi="Arial"/>
                <w:sz w:val="18"/>
                <w:szCs w:val="18"/>
                <w:color w:val="auto"/>
              </w:rPr>
              <w:t>14,760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4,254</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19,014</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9,107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9,957</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Mutual Funds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11,509</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7,402</w:t>
            </w:r>
          </w:p>
        </w:tc>
        <w:tc>
          <w:tcPr>
            <w:tcW w:w="0" w:type="dxa"/>
            <w:vAlign w:val="bottom"/>
          </w:tcPr>
          <w:p>
            <w:pPr>
              <w:spacing w:after="0"/>
              <w:rPr>
                <w:sz w:val="1"/>
                <w:szCs w:val="1"/>
                <w:color w:val="auto"/>
              </w:rPr>
            </w:pPr>
          </w:p>
        </w:tc>
      </w:tr>
      <w:tr>
        <w:trPr>
          <w:trHeight w:val="223"/>
        </w:trPr>
        <w:tc>
          <w:tcPr>
            <w:tcW w:w="3800" w:type="dxa"/>
            <w:vAlign w:val="bottom"/>
          </w:tcPr>
          <w:p>
            <w:pPr>
              <w:ind w:left="20"/>
              <w:spacing w:after="0"/>
              <w:rPr>
                <w:sz w:val="20"/>
                <w:szCs w:val="20"/>
                <w:color w:val="auto"/>
              </w:rPr>
            </w:pPr>
            <w:r>
              <w:rPr>
                <w:rFonts w:ascii="Arial" w:cs="Arial" w:eastAsia="Arial" w:hAnsi="Arial"/>
                <w:sz w:val="18"/>
                <w:szCs w:val="18"/>
                <w:color w:val="auto"/>
              </w:rPr>
              <w:t>Alternative Investments</w:t>
            </w:r>
          </w:p>
        </w:tc>
        <w:tc>
          <w:tcPr>
            <w:tcW w:w="700" w:type="dxa"/>
            <w:vAlign w:val="bottom"/>
          </w:tcPr>
          <w:p>
            <w:pPr>
              <w:jc w:val="right"/>
              <w:spacing w:after="0"/>
              <w:rPr>
                <w:sz w:val="20"/>
                <w:szCs w:val="20"/>
                <w:color w:val="auto"/>
              </w:rPr>
            </w:pPr>
            <w:r>
              <w:rPr>
                <w:rFonts w:ascii="Arial" w:cs="Arial" w:eastAsia="Arial" w:hAnsi="Arial"/>
                <w:sz w:val="18"/>
                <w:szCs w:val="18"/>
                <w:color w:val="auto"/>
              </w:rPr>
              <w:t>2,953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351</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3,304</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1,857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1,835</w:t>
            </w:r>
          </w:p>
        </w:tc>
        <w:tc>
          <w:tcPr>
            <w:tcW w:w="0" w:type="dxa"/>
            <w:vAlign w:val="bottom"/>
          </w:tcPr>
          <w:p>
            <w:pPr>
              <w:spacing w:after="0"/>
              <w:rPr>
                <w:sz w:val="1"/>
                <w:szCs w:val="1"/>
                <w:color w:val="auto"/>
              </w:rPr>
            </w:pPr>
          </w:p>
        </w:tc>
      </w:tr>
      <w:tr>
        <w:trPr>
          <w:trHeight w:val="216"/>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$ 43,548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$ 51,681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$ 33,014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35,650</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92"/>
        <w:spacing w:after="0" w:line="273" w:lineRule="auto"/>
        <w:rPr>
          <w:sz w:val="20"/>
          <w:szCs w:val="20"/>
          <w:color w:val="auto"/>
        </w:rPr>
      </w:pPr>
      <w:r>
        <w:rPr>
          <w:rFonts w:ascii="Arial" w:cs="Arial" w:eastAsia="Arial" w:hAnsi="Arial"/>
          <w:sz w:val="17"/>
          <w:szCs w:val="17"/>
          <w:color w:val="auto"/>
        </w:rPr>
        <w:t>Our fixed income investments consist of a blend of US Government and Agency bonds and investment grade corporate bonds with varying maturities. Our equity investments consist of small, mid, and large cap growth and value funds, as well as international equity. Our mutual fund investments consist of domestic and international stock. Our alternative investments consist of a private real estate income trust which is valued as a Level 3 asset. The net unrealized gain was $8.1 million. Carrying amounts above are recorded in the investments and restricted investments line items within the balance sheet as of June 26, 2021 and June 27, 2020.</w:t>
      </w:r>
    </w:p>
    <w:p>
      <w:pPr>
        <w:spacing w:after="0" w:line="174" w:lineRule="exact"/>
        <w:rPr>
          <w:sz w:val="20"/>
          <w:szCs w:val="20"/>
          <w:color w:val="auto"/>
        </w:rPr>
      </w:pPr>
    </w:p>
    <w:p>
      <w:pPr>
        <w:ind w:left="540" w:hanging="490"/>
        <w:spacing w:after="0"/>
        <w:tabs>
          <w:tab w:leader="none" w:pos="5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left="60" w:right="59" w:firstLine="492"/>
        <w:spacing w:after="0" w:line="272" w:lineRule="auto"/>
        <w:rPr>
          <w:sz w:val="20"/>
          <w:szCs w:val="20"/>
          <w:color w:val="auto"/>
        </w:rPr>
      </w:pPr>
      <w:r>
        <w:rPr>
          <w:rFonts w:ascii="Arial" w:cs="Arial" w:eastAsia="Arial" w:hAnsi="Arial"/>
          <w:sz w:val="17"/>
          <w:szCs w:val="17"/>
          <w:color w:val="auto"/>
        </w:rPr>
        <w:t>Within the three primary segments (Retail, Industrial, and Construction) that the Company operates, there are a variety of written agreements governing the sale of our products and services. The transaction price is stated at the purchase order level, which includes shipping and/or freight costs and any applicable governmental authority taxes. The majority of our contracts have a single performance obligation concentrated around the delivery of goods to the carrier, Free On Board (FOB) shipping point. Therefore, revenue is recognized when this performance obligation is satisfied. Generally, title and control passes at the time of shipment. In certain circumstances, the customer takes title when the shipment arrives at the destination. However, our shipping process is typically completed the same day.</w:t>
      </w:r>
    </w:p>
    <w:p>
      <w:pPr>
        <w:spacing w:after="0" w:line="167" w:lineRule="exact"/>
        <w:rPr>
          <w:sz w:val="20"/>
          <w:szCs w:val="20"/>
          <w:color w:val="auto"/>
        </w:rPr>
      </w:pPr>
    </w:p>
    <w:p>
      <w:pPr>
        <w:jc w:val="both"/>
        <w:ind w:left="60" w:right="59" w:firstLine="492"/>
        <w:spacing w:after="0" w:line="226" w:lineRule="auto"/>
        <w:rPr>
          <w:sz w:val="20"/>
          <w:szCs w:val="20"/>
          <w:color w:val="auto"/>
        </w:rPr>
      </w:pPr>
      <w:r>
        <w:rPr>
          <w:rFonts w:ascii="Arial" w:cs="Arial" w:eastAsia="Arial" w:hAnsi="Arial"/>
          <w:sz w:val="16"/>
          <w:szCs w:val="16"/>
          <w:color w:val="auto"/>
        </w:rPr>
        <w:t>Certain customer products that we provide require installation by the Company or a 3</w:t>
      </w:r>
      <w:r>
        <w:rPr>
          <w:rFonts w:ascii="Arial" w:cs="Arial" w:eastAsia="Arial" w:hAnsi="Arial"/>
          <w:sz w:val="23"/>
          <w:szCs w:val="23"/>
          <w:color w:val="auto"/>
          <w:vertAlign w:val="superscript"/>
        </w:rPr>
        <w:t>rd</w:t>
      </w:r>
      <w:r>
        <w:rPr>
          <w:rFonts w:ascii="Arial" w:cs="Arial" w:eastAsia="Arial" w:hAnsi="Arial"/>
          <w:sz w:val="16"/>
          <w:szCs w:val="16"/>
          <w:color w:val="auto"/>
        </w:rPr>
        <w:t xml:space="preserve"> party. Installation revenue is recognized upon completion. If the Company uses a 3</w:t>
      </w:r>
      <w:r>
        <w:rPr>
          <w:rFonts w:ascii="Arial" w:cs="Arial" w:eastAsia="Arial" w:hAnsi="Arial"/>
          <w:sz w:val="23"/>
          <w:szCs w:val="23"/>
          <w:color w:val="auto"/>
          <w:vertAlign w:val="superscript"/>
        </w:rPr>
        <w:t>rd</w:t>
      </w:r>
      <w:r>
        <w:rPr>
          <w:rFonts w:ascii="Arial" w:cs="Arial" w:eastAsia="Arial" w:hAnsi="Arial"/>
          <w:sz w:val="16"/>
          <w:szCs w:val="16"/>
          <w:color w:val="auto"/>
        </w:rPr>
        <w:t xml:space="preserve"> party for installation, the party will act as an agent to the Company until completion of the installation. Installation revenue represents an immaterial share of the Company’s total sales.</w:t>
      </w:r>
    </w:p>
    <w:p>
      <w:pPr>
        <w:spacing w:after="0" w:line="203" w:lineRule="exact"/>
        <w:rPr>
          <w:sz w:val="20"/>
          <w:szCs w:val="20"/>
          <w:color w:val="auto"/>
        </w:rPr>
      </w:pPr>
    </w:p>
    <w:p>
      <w:pPr>
        <w:jc w:val="both"/>
        <w:ind w:left="60" w:right="59" w:firstLine="492"/>
        <w:spacing w:after="0" w:line="255" w:lineRule="auto"/>
        <w:rPr>
          <w:sz w:val="20"/>
          <w:szCs w:val="20"/>
          <w:color w:val="auto"/>
        </w:rPr>
      </w:pPr>
      <w:r>
        <w:rPr>
          <w:rFonts w:ascii="Arial" w:cs="Arial" w:eastAsia="Arial" w:hAnsi="Arial"/>
          <w:sz w:val="18"/>
          <w:szCs w:val="18"/>
          <w:color w:val="auto"/>
        </w:rPr>
        <w:t>The Company utilizes rebates, credits, discounts and/or cash-based incentives with certain customers which are accounted for as variable consideration. We estimate these amounts based on the expected amount to be provided to customers and reduce revenues recognized. We believe that there will not be significant changes to our estimates of variable consideration. The allocation of these costs are applied at the invoice level and recognized in conjunction with revenue. Additionally, returns and refunds are estimated on a historical and expected basis which is a reduction of revenue recognized.</w:t>
      </w:r>
    </w:p>
    <w:p>
      <w:pPr>
        <w:spacing w:after="0" w:line="192" w:lineRule="exact"/>
        <w:rPr>
          <w:sz w:val="20"/>
          <w:szCs w:val="20"/>
          <w:color w:val="auto"/>
        </w:rPr>
      </w:pPr>
    </w:p>
    <w:p>
      <w:pPr>
        <w:jc w:val="both"/>
        <w:ind w:left="60" w:right="59" w:firstLine="492"/>
        <w:spacing w:after="0" w:line="270" w:lineRule="auto"/>
        <w:rPr>
          <w:sz w:val="20"/>
          <w:szCs w:val="20"/>
          <w:color w:val="auto"/>
        </w:rPr>
      </w:pPr>
      <w:r>
        <w:rPr>
          <w:rFonts w:ascii="Arial" w:cs="Arial" w:eastAsia="Arial" w:hAnsi="Arial"/>
          <w:sz w:val="17"/>
          <w:szCs w:val="17"/>
          <w:color w:val="auto"/>
        </w:rPr>
        <w:t>Earnings on construction contracts are reflected in operations using over time accounting, under either cost to cost or units of delivery methods, depending on the nature of the business at individual operations, which is in accordance with ASC 606 as revenue is recognized when certain performance obligations are performed. Under over time accounting using the cost to cost method, revenues and related earnings on construction contracts are measured by the relationships of actual costs incurred related to the total estimated costs. Under over time accounting using the units of delivery method, revenues and related earnings on construction contracts are measured by the relationships of actual units produced related to the total number of units. Revisions in earnings estimates on the construction contracts are recorded in the accounting period in which the basis for such revisions becomes known. Projected losses on individual contracts are charged to operations in their entirety when such losses become apparent.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Our construction contracts are generally entered into with a fixed price and completion of the projects can range from 6 to 18 months in duration. Therefore, our operating results are impacted by, among many other things, labor rates and commodity costs. During the year, we update our estimated costs to complete our projects using current labor and commodity costs and recognize losses to the extent that they exist.</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presents our net sales disaggregated by revenue source (in thousands):</w:t>
      </w: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6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5"/>
          </w:tcPr>
          <w:p>
            <w:pPr>
              <w:ind w:left="780"/>
              <w:spacing w:after="0"/>
              <w:rPr>
                <w:sz w:val="20"/>
                <w:szCs w:val="20"/>
                <w:color w:val="auto"/>
              </w:rPr>
            </w:pPr>
            <w:r>
              <w:rPr>
                <w:rFonts w:ascii="Arial" w:cs="Arial" w:eastAsia="Arial" w:hAnsi="Arial"/>
                <w:sz w:val="14"/>
                <w:szCs w:val="14"/>
                <w:b w:val="1"/>
                <w:bCs w:val="1"/>
                <w:color w:val="auto"/>
              </w:rPr>
              <w:t>Six Months Ended</w:t>
            </w:r>
          </w:p>
        </w:tc>
        <w:tc>
          <w:tcPr>
            <w:tcW w:w="660" w:type="dxa"/>
            <w:vAlign w:val="bottom"/>
            <w:tcBorders>
              <w:bottom w:val="single" w:sz="8" w:color="auto"/>
            </w:tcBorders>
          </w:tcPr>
          <w:p>
            <w:pPr>
              <w:spacing w:after="0"/>
              <w:rPr>
                <w:sz w:val="15"/>
                <w:szCs w:val="15"/>
                <w:color w:val="auto"/>
              </w:rPr>
            </w:pPr>
          </w:p>
        </w:tc>
      </w:tr>
      <w:tr>
        <w:trPr>
          <w:trHeight w:val="218"/>
        </w:trPr>
        <w:tc>
          <w:tcPr>
            <w:tcW w:w="2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26,</w:t>
            </w:r>
          </w:p>
        </w:tc>
        <w:tc>
          <w:tcPr>
            <w:tcW w:w="16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27,</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26,</w:t>
            </w:r>
          </w:p>
        </w:tc>
        <w:tc>
          <w:tcPr>
            <w:tcW w:w="18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27,</w:t>
            </w:r>
          </w:p>
        </w:tc>
        <w:tc>
          <w:tcPr>
            <w:tcW w:w="660" w:type="dxa"/>
            <w:vAlign w:val="bottom"/>
          </w:tcPr>
          <w:p>
            <w:pPr>
              <w:spacing w:after="0"/>
              <w:rPr>
                <w:sz w:val="18"/>
                <w:szCs w:val="18"/>
                <w:color w:val="auto"/>
              </w:rPr>
            </w:pPr>
          </w:p>
        </w:tc>
      </w:tr>
      <w:tr>
        <w:trPr>
          <w:trHeight w:val="194"/>
        </w:trPr>
        <w:tc>
          <w:tcPr>
            <w:tcW w:w="2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277"/>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6"/>
                <w:szCs w:val="16"/>
                <w:color w:val="auto"/>
              </w:rPr>
            </w:pPr>
          </w:p>
        </w:tc>
        <w:tc>
          <w:tcPr>
            <w:tcW w:w="860" w:type="dxa"/>
            <w:vAlign w:val="bottom"/>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297"/>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4"/>
              </w:rPr>
              <w:t>% Change</w:t>
            </w:r>
          </w:p>
        </w:tc>
      </w:tr>
      <w:tr>
        <w:trPr>
          <w:trHeight w:val="216"/>
        </w:trPr>
        <w:tc>
          <w:tcPr>
            <w:tcW w:w="2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FOB Shipping Point 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2,669,159</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1,209,659</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120.7%</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4,466,558</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2,208,921</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102.2%</w:t>
            </w:r>
          </w:p>
        </w:tc>
      </w:tr>
      <w:tr>
        <w:trPr>
          <w:trHeight w:val="223"/>
        </w:trPr>
        <w:tc>
          <w:tcPr>
            <w:tcW w:w="2680" w:type="dxa"/>
            <w:vAlign w:val="bottom"/>
          </w:tcPr>
          <w:p>
            <w:pPr>
              <w:ind w:left="20"/>
              <w:spacing w:after="0"/>
              <w:rPr>
                <w:sz w:val="20"/>
                <w:szCs w:val="20"/>
                <w:color w:val="auto"/>
              </w:rPr>
            </w:pPr>
            <w:r>
              <w:rPr>
                <w:rFonts w:ascii="Arial" w:cs="Arial" w:eastAsia="Arial" w:hAnsi="Arial"/>
                <w:sz w:val="18"/>
                <w:szCs w:val="18"/>
                <w:color w:val="auto"/>
              </w:rPr>
              <w:t>Construction Contract Revenue</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31,382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32,342</w:t>
            </w:r>
          </w:p>
        </w:tc>
        <w:tc>
          <w:tcPr>
            <w:tcW w:w="1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58,987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65,142</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2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2,700,541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1,242,001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117.4%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4,525,545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2,274,063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w:t>
            </w:r>
          </w:p>
        </w:tc>
      </w:tr>
      <w:tr>
        <w:trPr>
          <w:trHeight w:val="20"/>
        </w:trPr>
        <w:tc>
          <w:tcPr>
            <w:tcW w:w="2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The Construction segment comprises the construction contract revenue shown above. Construction contract revenue is primarily made up of site-built and framing customers.</w:t>
      </w:r>
    </w:p>
    <w:p>
      <w:pPr>
        <w:spacing w:after="0" w:line="170"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The following table presents the balances of over time accounting accounts which are included in “Other current assets” and “Accrued liabilities: Other”, respectively (in thousands):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0" w:type="dxa"/>
            <w:vAlign w:val="bottom"/>
          </w:tcPr>
          <w:p>
            <w:pPr>
              <w:jc w:val="right"/>
              <w:ind w:right="79"/>
              <w:spacing w:after="0"/>
              <w:rPr>
                <w:sz w:val="20"/>
                <w:szCs w:val="20"/>
                <w:color w:val="auto"/>
              </w:rPr>
            </w:pPr>
            <w:r>
              <w:rPr>
                <w:rFonts w:ascii="Arial" w:cs="Arial" w:eastAsia="Arial" w:hAnsi="Arial"/>
                <w:sz w:val="14"/>
                <w:szCs w:val="14"/>
                <w:b w:val="1"/>
                <w:bCs w:val="1"/>
                <w:color w:val="auto"/>
              </w:rPr>
              <w:t>June 26,</w:t>
            </w:r>
          </w:p>
        </w:tc>
        <w:tc>
          <w:tcPr>
            <w:tcW w:w="1020" w:type="dxa"/>
            <w:vAlign w:val="bottom"/>
            <w:gridSpan w:val="3"/>
          </w:tcPr>
          <w:p>
            <w:pPr>
              <w:ind w:left="180"/>
              <w:spacing w:after="0"/>
              <w:rPr>
                <w:sz w:val="20"/>
                <w:szCs w:val="20"/>
                <w:color w:val="auto"/>
              </w:rPr>
            </w:pPr>
            <w:r>
              <w:rPr>
                <w:rFonts w:ascii="Arial" w:cs="Arial" w:eastAsia="Arial" w:hAnsi="Arial"/>
                <w:sz w:val="14"/>
                <w:szCs w:val="14"/>
                <w:b w:val="1"/>
                <w:bCs w:val="1"/>
                <w:color w:val="auto"/>
                <w:w w:val="90"/>
              </w:rPr>
              <w:t>December 26,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27,</w:t>
            </w:r>
          </w:p>
        </w:tc>
      </w:tr>
      <w:tr>
        <w:trPr>
          <w:trHeight w:val="178"/>
        </w:trPr>
        <w:tc>
          <w:tcPr>
            <w:tcW w:w="4360" w:type="dxa"/>
            <w:vAlign w:val="bottom"/>
          </w:tcPr>
          <w:p>
            <w:pPr>
              <w:spacing w:after="0"/>
              <w:rPr>
                <w:sz w:val="15"/>
                <w:szCs w:val="15"/>
                <w:color w:val="auto"/>
              </w:rPr>
            </w:pPr>
          </w:p>
        </w:tc>
        <w:tc>
          <w:tcPr>
            <w:tcW w:w="2320" w:type="dxa"/>
            <w:vAlign w:val="bottom"/>
            <w:gridSpan w:val="2"/>
          </w:tcPr>
          <w:p>
            <w:pPr>
              <w:jc w:val="right"/>
              <w:ind w:right="179"/>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6"/>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199"/>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5"/>
                <w:szCs w:val="15"/>
                <w:color w:val="auto"/>
              </w:rPr>
            </w:pPr>
          </w:p>
        </w:tc>
      </w:tr>
      <w:tr>
        <w:trPr>
          <w:trHeight w:val="216"/>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and Earnings in Excess of Billings</w:t>
            </w:r>
          </w:p>
        </w:tc>
        <w:tc>
          <w:tcPr>
            <w:tcW w:w="15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4,201</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4,377</w:t>
            </w:r>
          </w:p>
        </w:tc>
        <w:tc>
          <w:tcPr>
            <w:tcW w:w="200" w:type="dxa"/>
            <w:vAlign w:val="bottom"/>
            <w:tcBorders>
              <w:top w:val="single" w:sz="8" w:color="CCEEFF"/>
            </w:tcBorders>
            <w:shd w:val="clear" w:color="auto" w:fill="CCEEFF"/>
          </w:tcPr>
          <w:p>
            <w:pPr>
              <w:spacing w:after="0"/>
              <w:rPr>
                <w:sz w:val="18"/>
                <w:szCs w:val="18"/>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Billings in Excess of Cost and Earnings</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8,239</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11,530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10,658</w:t>
            </w:r>
          </w:p>
        </w:tc>
        <w:tc>
          <w:tcPr>
            <w:tcW w:w="200" w:type="dxa"/>
            <w:vAlign w:val="bottom"/>
          </w:tcPr>
          <w:p>
            <w:pPr>
              <w:spacing w:after="0"/>
              <w:rPr>
                <w:sz w:val="20"/>
                <w:szCs w:val="20"/>
                <w:color w:val="auto"/>
              </w:rPr>
            </w:pPr>
          </w:p>
        </w:tc>
      </w:tr>
    </w:tbl>
    <w:p>
      <w:pPr>
        <w:spacing w:after="0" w:line="197" w:lineRule="exact"/>
        <w:rPr>
          <w:sz w:val="20"/>
          <w:szCs w:val="20"/>
          <w:color w:val="auto"/>
        </w:rPr>
      </w:pPr>
    </w:p>
    <w:p>
      <w:pPr>
        <w:ind w:left="540" w:hanging="490"/>
        <w:spacing w:after="0"/>
        <w:tabs>
          <w:tab w:leader="none" w:pos="5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The computation of earnings per share (“EPS”) is as follows (in thousands):</w:t>
      </w: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4"/>
          </w:tcPr>
          <w:p>
            <w:pPr>
              <w:jc w:val="right"/>
              <w:ind w:right="133"/>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5"/>
          </w:tcPr>
          <w:p>
            <w:pPr>
              <w:ind w:left="2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54"/>
              <w:spacing w:after="0" w:line="126" w:lineRule="exact"/>
              <w:rPr>
                <w:sz w:val="20"/>
                <w:szCs w:val="20"/>
                <w:color w:val="auto"/>
              </w:rPr>
            </w:pPr>
            <w:r>
              <w:rPr>
                <w:rFonts w:ascii="Arial" w:cs="Arial" w:eastAsia="Arial" w:hAnsi="Arial"/>
                <w:sz w:val="14"/>
                <w:szCs w:val="14"/>
                <w:b w:val="1"/>
                <w:bCs w:val="1"/>
                <w:color w:val="auto"/>
                <w:w w:val="92"/>
              </w:rPr>
              <w:t>June 26,</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73"/>
              <w:spacing w:after="0" w:line="126" w:lineRule="exact"/>
              <w:rPr>
                <w:sz w:val="20"/>
                <w:szCs w:val="20"/>
                <w:color w:val="auto"/>
              </w:rPr>
            </w:pPr>
            <w:r>
              <w:rPr>
                <w:rFonts w:ascii="Arial" w:cs="Arial" w:eastAsia="Arial" w:hAnsi="Arial"/>
                <w:sz w:val="14"/>
                <w:szCs w:val="14"/>
                <w:b w:val="1"/>
                <w:bCs w:val="1"/>
                <w:color w:val="auto"/>
                <w:w w:val="92"/>
              </w:rPr>
              <w:t>June 27,</w:t>
            </w: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74"/>
              <w:spacing w:after="0" w:line="126" w:lineRule="exact"/>
              <w:rPr>
                <w:sz w:val="20"/>
                <w:szCs w:val="20"/>
                <w:color w:val="auto"/>
              </w:rPr>
            </w:pPr>
            <w:r>
              <w:rPr>
                <w:rFonts w:ascii="Arial" w:cs="Arial" w:eastAsia="Arial" w:hAnsi="Arial"/>
                <w:sz w:val="14"/>
                <w:szCs w:val="14"/>
                <w:b w:val="1"/>
                <w:bCs w:val="1"/>
                <w:color w:val="auto"/>
                <w:w w:val="92"/>
              </w:rPr>
              <w:t>June 26,</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73"/>
              <w:spacing w:after="0" w:line="126" w:lineRule="exact"/>
              <w:rPr>
                <w:sz w:val="20"/>
                <w:szCs w:val="20"/>
                <w:color w:val="auto"/>
              </w:rPr>
            </w:pPr>
            <w:r>
              <w:rPr>
                <w:rFonts w:ascii="Arial" w:cs="Arial" w:eastAsia="Arial" w:hAnsi="Arial"/>
                <w:sz w:val="14"/>
                <w:szCs w:val="14"/>
                <w:b w:val="1"/>
                <w:bCs w:val="1"/>
                <w:color w:val="auto"/>
                <w:w w:val="92"/>
              </w:rPr>
              <w:t>June 27,</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32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00"/>
              <w:spacing w:after="0"/>
              <w:rPr>
                <w:sz w:val="20"/>
                <w:szCs w:val="20"/>
                <w:color w:val="auto"/>
              </w:rPr>
            </w:pPr>
            <w:r>
              <w:rPr>
                <w:rFonts w:ascii="Arial" w:cs="Arial" w:eastAsia="Arial" w:hAnsi="Arial"/>
                <w:sz w:val="18"/>
                <w:szCs w:val="18"/>
                <w:color w:val="auto"/>
              </w:rPr>
              <w:t>Net earnings attributable to controlling interest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173,382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66,463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276,693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106,622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1"/>
              </w:rPr>
              <w:t>Adjustment for earnings allocated to non-vested restricted</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(5,670)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(8,807)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common stock</w:t>
            </w: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20" w:type="dxa"/>
            <w:vAlign w:val="bottom"/>
            <w:tcBorders>
              <w:bottom w:val="single" w:sz="8" w:color="CCEEFF"/>
            </w:tcBorders>
          </w:tcPr>
          <w:p>
            <w:pPr>
              <w:ind w:left="100"/>
              <w:spacing w:after="0" w:line="203" w:lineRule="exact"/>
              <w:rPr>
                <w:sz w:val="20"/>
                <w:szCs w:val="20"/>
                <w:color w:val="auto"/>
              </w:rPr>
            </w:pPr>
            <w:r>
              <w:rPr>
                <w:rFonts w:ascii="Arial" w:cs="Arial" w:eastAsia="Arial" w:hAnsi="Arial"/>
                <w:sz w:val="18"/>
                <w:szCs w:val="18"/>
                <w:color w:val="auto"/>
              </w:rPr>
              <w:t>Net earnings for calculating EPS</w:t>
            </w:r>
          </w:p>
        </w:tc>
        <w:tc>
          <w:tcPr>
            <w:tcW w:w="7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167,712</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64,576</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267,886</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103,701</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00"/>
              <w:spacing w:after="0"/>
              <w:rPr>
                <w:sz w:val="20"/>
                <w:szCs w:val="20"/>
                <w:color w:val="auto"/>
              </w:rPr>
            </w:pPr>
            <w:r>
              <w:rPr>
                <w:rFonts w:ascii="Arial" w:cs="Arial" w:eastAsia="Arial" w:hAnsi="Arial"/>
                <w:sz w:val="18"/>
                <w:szCs w:val="18"/>
                <w:color w:val="auto"/>
              </w:rPr>
              <w:t>Weighted average shares outstanding</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62,242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61,494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62,087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61,659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Adjustment for non-vested restricted common stock</w:t>
            </w: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tcPr>
          <w:p>
            <w:pPr>
              <w:ind w:left="100"/>
              <w:spacing w:after="0" w:line="203" w:lineRule="exact"/>
              <w:rPr>
                <w:sz w:val="20"/>
                <w:szCs w:val="20"/>
                <w:color w:val="auto"/>
              </w:rPr>
            </w:pPr>
            <w:r>
              <w:rPr>
                <w:rFonts w:ascii="Arial" w:cs="Arial" w:eastAsia="Arial" w:hAnsi="Arial"/>
                <w:sz w:val="18"/>
                <w:szCs w:val="18"/>
                <w:color w:val="auto"/>
              </w:rPr>
              <w:t>Shares for calculating basic EPS</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60,207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59,748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60,111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59,970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Effect of dilutive restricted common stock</w:t>
            </w: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20" w:type="dxa"/>
            <w:vAlign w:val="bottom"/>
            <w:tcBorders>
              <w:bottom w:val="single" w:sz="8" w:color="CCEEFF"/>
            </w:tcBorders>
          </w:tcPr>
          <w:p>
            <w:pPr>
              <w:ind w:left="100"/>
              <w:spacing w:after="0" w:line="203" w:lineRule="exact"/>
              <w:rPr>
                <w:sz w:val="20"/>
                <w:szCs w:val="20"/>
                <w:color w:val="auto"/>
              </w:rPr>
            </w:pPr>
            <w:r>
              <w:rPr>
                <w:rFonts w:ascii="Arial" w:cs="Arial" w:eastAsia="Arial" w:hAnsi="Arial"/>
                <w:sz w:val="18"/>
                <w:szCs w:val="18"/>
                <w:color w:val="auto"/>
              </w:rPr>
              <w:t>Shares for calculating diluted EPS</w:t>
            </w:r>
          </w:p>
        </w:tc>
        <w:tc>
          <w:tcPr>
            <w:tcW w:w="7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60,363</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59,766</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60,232</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59,988</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earnings per share:</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00"/>
              <w:spacing w:after="0"/>
              <w:rPr>
                <w:sz w:val="20"/>
                <w:szCs w:val="20"/>
                <w:color w:val="auto"/>
              </w:rPr>
            </w:pPr>
            <w:r>
              <w:rPr>
                <w:rFonts w:ascii="Arial" w:cs="Arial" w:eastAsia="Arial" w:hAnsi="Arial"/>
                <w:sz w:val="18"/>
                <w:szCs w:val="18"/>
                <w:color w:val="auto"/>
              </w:rPr>
              <w:t>Basic</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4.46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77"/>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740" w:type="dxa"/>
            <w:vAlign w:val="bottom"/>
          </w:tcPr>
          <w:p>
            <w:pPr>
              <w:jc w:val="right"/>
              <w:ind w:right="430"/>
              <w:spacing w:after="0"/>
              <w:rPr>
                <w:sz w:val="20"/>
                <w:szCs w:val="20"/>
                <w:color w:val="auto"/>
              </w:rPr>
            </w:pPr>
            <w:r>
              <w:rPr>
                <w:rFonts w:ascii="Arial" w:cs="Arial" w:eastAsia="Arial" w:hAnsi="Arial"/>
                <w:sz w:val="18"/>
                <w:szCs w:val="18"/>
                <w:color w:val="auto"/>
                <w:w w:val="99"/>
              </w:rPr>
              <w:t>11</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44"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ind w:left="540" w:hanging="490"/>
        <w:spacing w:after="0"/>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w:t>
      </w:r>
    </w:p>
    <w:p>
      <w:pPr>
        <w:spacing w:after="0" w:line="229"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We are self-insured for environmental impairment liability, including certain liabilities which are insured through a wholly owned subsidiary, Ardellis Insurance Ltd., a licensed captive insurance company.</w:t>
      </w:r>
    </w:p>
    <w:p>
      <w:pPr>
        <w:spacing w:after="0" w:line="170" w:lineRule="exact"/>
        <w:rPr>
          <w:sz w:val="20"/>
          <w:szCs w:val="20"/>
          <w:color w:val="auto"/>
        </w:rPr>
      </w:pPr>
    </w:p>
    <w:p>
      <w:pPr>
        <w:jc w:val="both"/>
        <w:ind w:left="60" w:right="79" w:firstLine="492"/>
        <w:spacing w:after="0" w:line="263" w:lineRule="auto"/>
        <w:rPr>
          <w:sz w:val="20"/>
          <w:szCs w:val="20"/>
          <w:color w:val="auto"/>
        </w:rPr>
      </w:pPr>
      <w:r>
        <w:rPr>
          <w:rFonts w:ascii="Arial" w:cs="Arial" w:eastAsia="Arial" w:hAnsi="Arial"/>
          <w:sz w:val="18"/>
          <w:szCs w:val="18"/>
          <w:color w:val="auto"/>
        </w:rPr>
        <w:t>In addition, on June 26, 2021, we were parties either as plaintiff or defendant to a number of lawsuits and claims arising through the normal course of our business. In the opinion of management, our consolidated financial statements will not be materially affected by the outcome of these contingencies and claims.</w:t>
      </w:r>
    </w:p>
    <w:p>
      <w:pPr>
        <w:spacing w:after="0" w:line="184"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On June 26, 2021, we had outstanding purchase commitments on commenced capital projects of approximately $45.1 million.</w:t>
      </w:r>
    </w:p>
    <w:p>
      <w:pPr>
        <w:spacing w:after="0" w:line="170"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We provide a variety of warranties for products we manufacture. Historically, warranty claims have not been material. We also distribute products manufactured by other companies, some of which are no longer in business. While we do not warrant these products, we have received claims as a distributor of these products when the manufacturer no longer exists or has the ability to pay. Historically, these costs have not had a material effect on our consolidated financial statements.</w:t>
      </w:r>
    </w:p>
    <w:p>
      <w:pPr>
        <w:spacing w:after="0" w:line="188" w:lineRule="exact"/>
        <w:rPr>
          <w:sz w:val="20"/>
          <w:szCs w:val="20"/>
          <w:color w:val="auto"/>
        </w:rPr>
      </w:pPr>
    </w:p>
    <w:p>
      <w:pPr>
        <w:jc w:val="both"/>
        <w:ind w:left="60" w:right="59" w:firstLine="492"/>
        <w:spacing w:after="0" w:line="293" w:lineRule="auto"/>
        <w:rPr>
          <w:sz w:val="20"/>
          <w:szCs w:val="20"/>
          <w:color w:val="auto"/>
        </w:rPr>
      </w:pPr>
      <w:r>
        <w:rPr>
          <w:rFonts w:ascii="Arial" w:cs="Arial" w:eastAsia="Arial" w:hAnsi="Arial"/>
          <w:sz w:val="16"/>
          <w:szCs w:val="16"/>
          <w:color w:val="auto"/>
        </w:rPr>
        <w:t>As part of our operations, we supply building materials and labor to site-built construction projects or we jointly bid on contracts with framing companies for such projects. In some instances, we are required to post payment and performance bonds to ensure the products and installation services are completed in accordance with our contractual obligations. We have agreed to indemnify the surety for claims properly made against these bonds. As of June 26, 2021, we had approximately $36.4 million outstanding payment and performance bonds for open projects. We had approximately $2.1 million in payment and performance bonds outstanding for completed projects which are still under warranty.</w:t>
      </w:r>
    </w:p>
    <w:p>
      <w:pPr>
        <w:spacing w:after="0" w:line="164"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On June 26, 2021, we had outstanding letters of credit totaling $52.7 million, primarily related to certain insurance contracts and industrial development revenue bonds described further below.</w:t>
      </w:r>
    </w:p>
    <w:p>
      <w:pPr>
        <w:spacing w:after="0" w:line="170" w:lineRule="exact"/>
        <w:rPr>
          <w:sz w:val="20"/>
          <w:szCs w:val="20"/>
          <w:color w:val="auto"/>
        </w:rPr>
      </w:pPr>
    </w:p>
    <w:p>
      <w:pPr>
        <w:jc w:val="both"/>
        <w:ind w:left="60" w:right="59" w:firstLine="492"/>
        <w:spacing w:after="0" w:line="279" w:lineRule="auto"/>
        <w:rPr>
          <w:sz w:val="20"/>
          <w:szCs w:val="20"/>
          <w:color w:val="auto"/>
        </w:rPr>
      </w:pPr>
      <w:r>
        <w:rPr>
          <w:rFonts w:ascii="Arial" w:cs="Arial" w:eastAsia="Arial" w:hAnsi="Arial"/>
          <w:sz w:val="17"/>
          <w:szCs w:val="17"/>
          <w:color w:val="auto"/>
        </w:rPr>
        <w:t>In lieu of cash deposits, we provide irrevocable letters of credit in favor of our insurers to guarantee our performance under certain insurance contracts. As of June 26, 2021, we have irrevocable letters of credit outstanding totaling approximately $45.6 million for these types of insurance arrangements. We have reserves recorded on our balance sheet, in accrued liabilities, that reflect our expected future liabilities under these insurance arrangements.</w:t>
      </w:r>
    </w:p>
    <w:p>
      <w:pPr>
        <w:spacing w:after="0" w:line="171" w:lineRule="exact"/>
        <w:rPr>
          <w:sz w:val="20"/>
          <w:szCs w:val="20"/>
          <w:color w:val="auto"/>
        </w:rPr>
      </w:pPr>
    </w:p>
    <w:p>
      <w:pPr>
        <w:jc w:val="both"/>
        <w:ind w:left="60" w:right="79" w:firstLine="492"/>
        <w:spacing w:after="0" w:line="257" w:lineRule="auto"/>
        <w:rPr>
          <w:sz w:val="20"/>
          <w:szCs w:val="20"/>
          <w:color w:val="auto"/>
        </w:rPr>
      </w:pPr>
      <w:r>
        <w:rPr>
          <w:rFonts w:ascii="Arial" w:cs="Arial" w:eastAsia="Arial" w:hAnsi="Arial"/>
          <w:sz w:val="18"/>
          <w:szCs w:val="18"/>
          <w:color w:val="auto"/>
        </w:rPr>
        <w:t>We are required to provide irrevocable letters of credit in favor of the bond trustees for all industrial development revenue bonds that have been issued. These letters of credit guarantee principal and interest payments to the bondholders. We currently have irrevocable letters of credit outstanding totaling approximately $7.1 million related to our outstanding industrial development revenue bonds. These letters of credit have varying terms but may be renewed at the option of the issuing banks.</w:t>
      </w:r>
    </w:p>
    <w:p>
      <w:pPr>
        <w:spacing w:after="0" w:line="188"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Certain wholly owned domestic subsidiaries have guaranteed the indebtedness of UFP Industries, Inc. in certain debt agreements, including the Series 2012, 2018 and 2020 Senior Notes and our revolving credit facility. The maximum exposure of these guarantees is limited to the indebtedness outstanding under these debt arrangements and this exposure will expire concurrent with the expiration of the debt agreements.</w:t>
      </w:r>
    </w:p>
    <w:p>
      <w:pPr>
        <w:spacing w:after="0" w:line="187"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We did not enter into any new guarantee arrangements during the second quarter of 2021 which would require us to recognize a liability on our balance sheet.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ind w:left="500" w:hanging="450"/>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ind w:left="60" w:right="59" w:firstLine="492"/>
        <w:spacing w:after="0" w:line="277" w:lineRule="auto"/>
        <w:rPr>
          <w:sz w:val="20"/>
          <w:szCs w:val="20"/>
          <w:color w:val="auto"/>
        </w:rPr>
      </w:pPr>
      <w:r>
        <w:rPr>
          <w:rFonts w:ascii="Arial" w:cs="Arial" w:eastAsia="Arial" w:hAnsi="Arial"/>
          <w:sz w:val="18"/>
          <w:szCs w:val="18"/>
          <w:color w:val="auto"/>
        </w:rPr>
        <w:t>We completed the following acquisitions in 2021 and since the end of June 2020, which were accounted for using the purchase method in thousands unless otherwise noted:</w:t>
      </w:r>
    </w:p>
    <w:p>
      <w:pPr>
        <w:spacing w:after="0" w:line="178" w:lineRule="exact"/>
        <w:rPr>
          <w:sz w:val="20"/>
          <w:szCs w:val="20"/>
          <w:color w:val="auto"/>
        </w:rPr>
      </w:pPr>
    </w:p>
    <w:tbl>
      <w:tblPr>
        <w:tblLayout w:type="fixed"/>
        <w:tblInd w:w="50" w:type="dxa"/>
        <w:tblCellMar>
          <w:top w:w="0" w:type="dxa"/>
          <w:left w:w="0" w:type="dxa"/>
          <w:bottom w:w="0" w:type="dxa"/>
          <w:right w:w="0" w:type="dxa"/>
        </w:tblCellMar>
      </w:tblPr>
      <w:tr>
        <w:trPr>
          <w:trHeight w:val="202"/>
        </w:trPr>
        <w:tc>
          <w:tcPr>
            <w:tcW w:w="2540" w:type="dxa"/>
            <w:vAlign w:val="bottom"/>
            <w:tcBorders>
              <w:top w:val="single" w:sz="8" w:color="auto"/>
              <w:left w:val="single" w:sz="8" w:color="auto"/>
              <w:right w:val="single" w:sz="8" w:color="auto"/>
            </w:tcBorders>
          </w:tcPr>
          <w:p>
            <w:pPr>
              <w:spacing w:after="0"/>
              <w:rPr>
                <w:sz w:val="17"/>
                <w:szCs w:val="17"/>
                <w:color w:val="auto"/>
              </w:rPr>
            </w:pPr>
          </w:p>
        </w:tc>
        <w:tc>
          <w:tcPr>
            <w:tcW w:w="1400" w:type="dxa"/>
            <w:vAlign w:val="bottom"/>
            <w:tcBorders>
              <w:top w:val="single" w:sz="8" w:color="auto"/>
              <w:right w:val="single" w:sz="8" w:color="auto"/>
            </w:tcBorders>
          </w:tcPr>
          <w:p>
            <w:pPr>
              <w:spacing w:after="0"/>
              <w:rPr>
                <w:sz w:val="17"/>
                <w:szCs w:val="17"/>
                <w:color w:val="auto"/>
              </w:rPr>
            </w:pPr>
          </w:p>
        </w:tc>
        <w:tc>
          <w:tcPr>
            <w:tcW w:w="1760" w:type="dxa"/>
            <w:vAlign w:val="bottom"/>
            <w:tcBorders>
              <w:top w:val="single" w:sz="8" w:color="auto"/>
              <w:right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80" w:type="dxa"/>
            <w:vAlign w:val="bottom"/>
            <w:tcBorders>
              <w:top w:val="single" w:sz="8" w:color="auto"/>
              <w:right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right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Net</w:t>
            </w:r>
          </w:p>
        </w:tc>
        <w:tc>
          <w:tcPr>
            <w:tcW w:w="108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Company</w:t>
            </w:r>
          </w:p>
        </w:tc>
        <w:tc>
          <w:tcPr>
            <w:tcW w:w="1400" w:type="dxa"/>
            <w:vAlign w:val="bottom"/>
            <w:tcBorders>
              <w:right w:val="single" w:sz="8" w:color="auto"/>
            </w:tcBorders>
          </w:tcPr>
          <w:p>
            <w:pPr>
              <w:ind w:left="280"/>
              <w:spacing w:after="0"/>
              <w:rPr>
                <w:sz w:val="20"/>
                <w:szCs w:val="20"/>
                <w:color w:val="auto"/>
              </w:rPr>
            </w:pPr>
            <w:r>
              <w:rPr>
                <w:rFonts w:ascii="Arial" w:cs="Arial" w:eastAsia="Arial" w:hAnsi="Arial"/>
                <w:sz w:val="16"/>
                <w:szCs w:val="16"/>
                <w:b w:val="1"/>
                <w:bCs w:val="1"/>
                <w:color w:val="auto"/>
              </w:rPr>
              <w:t>Acquisition</w:t>
            </w:r>
          </w:p>
        </w:tc>
        <w:tc>
          <w:tcPr>
            <w:tcW w:w="17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7"/>
              </w:rPr>
              <w:t>Intangible</w:t>
            </w:r>
          </w:p>
        </w:tc>
        <w:tc>
          <w:tcPr>
            <w:tcW w:w="140" w:type="dxa"/>
            <w:vAlign w:val="bottom"/>
          </w:tcPr>
          <w:p>
            <w:pPr>
              <w:spacing w:after="0"/>
              <w:rPr>
                <w:sz w:val="17"/>
                <w:szCs w:val="17"/>
                <w:color w:val="auto"/>
              </w:rPr>
            </w:pPr>
          </w:p>
        </w:tc>
        <w:tc>
          <w:tcPr>
            <w:tcW w:w="940" w:type="dxa"/>
            <w:vAlign w:val="bottom"/>
            <w:tcBorders>
              <w:right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Tangible</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Operating</w:t>
            </w:r>
          </w:p>
        </w:tc>
        <w:tc>
          <w:tcPr>
            <w:tcW w:w="0" w:type="dxa"/>
            <w:vAlign w:val="bottom"/>
          </w:tcPr>
          <w:p>
            <w:pPr>
              <w:spacing w:after="0"/>
              <w:rPr>
                <w:sz w:val="1"/>
                <w:szCs w:val="1"/>
                <w:color w:val="auto"/>
              </w:rPr>
            </w:pPr>
          </w:p>
        </w:tc>
      </w:tr>
      <w:tr>
        <w:trPr>
          <w:trHeight w:val="223"/>
        </w:trPr>
        <w:tc>
          <w:tcPr>
            <w:tcW w:w="2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Name</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Date</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Purchase Price</w:t>
            </w: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Assets</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Segment</w:t>
            </w:r>
          </w:p>
        </w:tc>
        <w:tc>
          <w:tcPr>
            <w:tcW w:w="0" w:type="dxa"/>
            <w:vAlign w:val="bottom"/>
          </w:tcPr>
          <w:p>
            <w:pPr>
              <w:spacing w:after="0"/>
              <w:rPr>
                <w:sz w:val="1"/>
                <w:szCs w:val="1"/>
                <w:color w:val="auto"/>
              </w:rPr>
            </w:pPr>
          </w:p>
        </w:tc>
      </w:tr>
      <w:tr>
        <w:trPr>
          <w:trHeight w:val="193"/>
        </w:trPr>
        <w:tc>
          <w:tcPr>
            <w:tcW w:w="2540" w:type="dxa"/>
            <w:vAlign w:val="bottom"/>
            <w:tcBorders>
              <w:left w:val="single" w:sz="8" w:color="auto"/>
              <w:right w:val="single" w:sz="8" w:color="auto"/>
            </w:tcBorders>
            <w:shd w:val="clear" w:color="auto" w:fill="CCEBFF"/>
          </w:tcPr>
          <w:p>
            <w:pPr>
              <w:spacing w:after="0"/>
              <w:rPr>
                <w:sz w:val="16"/>
                <w:szCs w:val="16"/>
                <w:color w:val="auto"/>
              </w:rPr>
            </w:pPr>
          </w:p>
        </w:tc>
        <w:tc>
          <w:tcPr>
            <w:tcW w:w="1400" w:type="dxa"/>
            <w:vAlign w:val="bottom"/>
            <w:tcBorders>
              <w:right w:val="single" w:sz="8" w:color="auto"/>
            </w:tcBorders>
            <w:shd w:val="clear" w:color="auto" w:fill="CCEBFF"/>
          </w:tcPr>
          <w:p>
            <w:pPr>
              <w:spacing w:after="0"/>
              <w:rPr>
                <w:sz w:val="16"/>
                <w:szCs w:val="16"/>
                <w:color w:val="auto"/>
              </w:rPr>
            </w:pPr>
          </w:p>
        </w:tc>
        <w:tc>
          <w:tcPr>
            <w:tcW w:w="17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9"/>
              </w:rPr>
              <w:t>$12,243</w:t>
            </w:r>
          </w:p>
        </w:tc>
        <w:tc>
          <w:tcPr>
            <w:tcW w:w="80" w:type="dxa"/>
            <w:vAlign w:val="bottom"/>
            <w:shd w:val="clear" w:color="auto" w:fill="CCEBFF"/>
          </w:tcPr>
          <w:p>
            <w:pPr>
              <w:spacing w:after="0"/>
              <w:rPr>
                <w:sz w:val="16"/>
                <w:szCs w:val="16"/>
                <w:color w:val="auto"/>
              </w:rPr>
            </w:pPr>
          </w:p>
        </w:tc>
        <w:tc>
          <w:tcPr>
            <w:tcW w:w="980" w:type="dxa"/>
            <w:vAlign w:val="bottom"/>
            <w:tcBorders>
              <w:right w:val="single" w:sz="8" w:color="auto"/>
            </w:tcBorders>
            <w:shd w:val="clear" w:color="auto" w:fill="CCEBFF"/>
          </w:tcPr>
          <w:p>
            <w:pPr>
              <w:spacing w:after="0"/>
              <w:rPr>
                <w:sz w:val="16"/>
                <w:szCs w:val="16"/>
                <w:color w:val="auto"/>
              </w:rPr>
            </w:pPr>
          </w:p>
        </w:tc>
        <w:tc>
          <w:tcPr>
            <w:tcW w:w="140" w:type="dxa"/>
            <w:vAlign w:val="bottom"/>
            <w:shd w:val="clear" w:color="auto" w:fill="CCEBFF"/>
          </w:tcPr>
          <w:p>
            <w:pPr>
              <w:spacing w:after="0"/>
              <w:rPr>
                <w:sz w:val="16"/>
                <w:szCs w:val="16"/>
                <w:color w:val="auto"/>
              </w:rPr>
            </w:pPr>
          </w:p>
        </w:tc>
        <w:tc>
          <w:tcPr>
            <w:tcW w:w="940" w:type="dxa"/>
            <w:vAlign w:val="bottom"/>
            <w:tcBorders>
              <w:right w:val="single" w:sz="8" w:color="auto"/>
            </w:tcBorders>
            <w:shd w:val="clear" w:color="auto" w:fill="CCEBFF"/>
          </w:tcPr>
          <w:p>
            <w:pPr>
              <w:spacing w:after="0"/>
              <w:rPr>
                <w:sz w:val="16"/>
                <w:szCs w:val="16"/>
                <w:color w:val="auto"/>
              </w:rPr>
            </w:pPr>
          </w:p>
        </w:tc>
        <w:tc>
          <w:tcPr>
            <w:tcW w:w="108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540" w:type="dxa"/>
            <w:vAlign w:val="bottom"/>
            <w:tcBorders>
              <w:left w:val="single" w:sz="8" w:color="auto"/>
              <w:right w:val="single" w:sz="8" w:color="auto"/>
            </w:tcBorders>
            <w:shd w:val="clear" w:color="auto" w:fill="CCEBFF"/>
          </w:tcPr>
          <w:p>
            <w:pPr>
              <w:spacing w:after="0"/>
              <w:rPr>
                <w:sz w:val="21"/>
                <w:szCs w:val="21"/>
                <w:color w:val="auto"/>
              </w:rPr>
            </w:pPr>
          </w:p>
        </w:tc>
        <w:tc>
          <w:tcPr>
            <w:tcW w:w="140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5"/>
              </w:rPr>
              <w:t>April 29, 2021</w:t>
            </w:r>
          </w:p>
        </w:tc>
        <w:tc>
          <w:tcPr>
            <w:tcW w:w="17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9"/>
              </w:rPr>
              <w:t>cash paid for 100% asset</w:t>
            </w:r>
          </w:p>
        </w:tc>
        <w:tc>
          <w:tcPr>
            <w:tcW w:w="80" w:type="dxa"/>
            <w:vAlign w:val="bottom"/>
            <w:shd w:val="clear" w:color="auto" w:fill="CCEBFF"/>
          </w:tcPr>
          <w:p>
            <w:pPr>
              <w:jc w:val="right"/>
              <w:ind w:right="15"/>
              <w:spacing w:after="0"/>
              <w:rPr>
                <w:sz w:val="20"/>
                <w:szCs w:val="20"/>
                <w:color w:val="auto"/>
              </w:rPr>
            </w:pPr>
            <w:r>
              <w:rPr>
                <w:rFonts w:ascii="Arial" w:cs="Arial" w:eastAsia="Arial" w:hAnsi="Arial"/>
                <w:sz w:val="5"/>
                <w:szCs w:val="5"/>
                <w:color w:val="auto"/>
                <w:w w:val="70"/>
              </w:rPr>
              <w:t>$</w:t>
            </w:r>
          </w:p>
        </w:tc>
        <w:tc>
          <w:tcPr>
            <w:tcW w:w="98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9,234</w:t>
            </w:r>
          </w:p>
        </w:tc>
        <w:tc>
          <w:tcPr>
            <w:tcW w:w="140" w:type="dxa"/>
            <w:vAlign w:val="bottom"/>
            <w:shd w:val="clear" w:color="auto" w:fill="CCEB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3,009</w:t>
            </w:r>
          </w:p>
        </w:tc>
        <w:tc>
          <w:tcPr>
            <w:tcW w:w="108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3"/>
              </w:rPr>
              <w:t>Construction</w:t>
            </w:r>
          </w:p>
        </w:tc>
        <w:tc>
          <w:tcPr>
            <w:tcW w:w="0" w:type="dxa"/>
            <w:vAlign w:val="bottom"/>
          </w:tcPr>
          <w:p>
            <w:pPr>
              <w:spacing w:after="0"/>
              <w:rPr>
                <w:sz w:val="1"/>
                <w:szCs w:val="1"/>
                <w:color w:val="auto"/>
              </w:rPr>
            </w:pPr>
          </w:p>
        </w:tc>
      </w:tr>
      <w:tr>
        <w:trPr>
          <w:trHeight w:val="152"/>
        </w:trPr>
        <w:tc>
          <w:tcPr>
            <w:tcW w:w="2540" w:type="dxa"/>
            <w:vAlign w:val="bottom"/>
            <w:tcBorders>
              <w:left w:val="single" w:sz="8" w:color="auto"/>
              <w:right w:val="single" w:sz="8" w:color="auto"/>
            </w:tcBorders>
            <w:shd w:val="clear" w:color="auto" w:fill="CCEBFF"/>
          </w:tcPr>
          <w:p>
            <w:pPr>
              <w:spacing w:after="0"/>
              <w:rPr>
                <w:sz w:val="13"/>
                <w:szCs w:val="13"/>
                <w:color w:val="auto"/>
              </w:rPr>
            </w:pPr>
          </w:p>
        </w:tc>
        <w:tc>
          <w:tcPr>
            <w:tcW w:w="1400" w:type="dxa"/>
            <w:vAlign w:val="bottom"/>
            <w:tcBorders>
              <w:right w:val="single" w:sz="8" w:color="auto"/>
            </w:tcBorders>
            <w:shd w:val="clear" w:color="auto" w:fill="CCEBFF"/>
          </w:tcPr>
          <w:p>
            <w:pPr>
              <w:spacing w:after="0"/>
              <w:rPr>
                <w:sz w:val="13"/>
                <w:szCs w:val="13"/>
                <w:color w:val="auto"/>
              </w:rPr>
            </w:pPr>
          </w:p>
        </w:tc>
        <w:tc>
          <w:tcPr>
            <w:tcW w:w="1760" w:type="dxa"/>
            <w:vAlign w:val="bottom"/>
            <w:tcBorders>
              <w:right w:val="single" w:sz="8" w:color="auto"/>
            </w:tcBorders>
            <w:shd w:val="clear" w:color="auto" w:fill="CCEBFF"/>
          </w:tcPr>
          <w:p>
            <w:pPr>
              <w:jc w:val="center"/>
              <w:spacing w:after="0" w:line="152" w:lineRule="exact"/>
              <w:rPr>
                <w:sz w:val="20"/>
                <w:szCs w:val="20"/>
                <w:color w:val="auto"/>
              </w:rPr>
            </w:pPr>
            <w:r>
              <w:rPr>
                <w:rFonts w:ascii="Arial" w:cs="Arial" w:eastAsia="Arial" w:hAnsi="Arial"/>
                <w:sz w:val="16"/>
                <w:szCs w:val="16"/>
                <w:color w:val="auto"/>
                <w:w w:val="88"/>
              </w:rPr>
              <w:t>purchase and estimated</w:t>
            </w:r>
          </w:p>
        </w:tc>
        <w:tc>
          <w:tcPr>
            <w:tcW w:w="80" w:type="dxa"/>
            <w:vAlign w:val="bottom"/>
            <w:shd w:val="clear" w:color="auto" w:fill="CCEBFF"/>
          </w:tcPr>
          <w:p>
            <w:pPr>
              <w:spacing w:after="0"/>
              <w:rPr>
                <w:sz w:val="13"/>
                <w:szCs w:val="13"/>
                <w:color w:val="auto"/>
              </w:rPr>
            </w:pPr>
          </w:p>
        </w:tc>
        <w:tc>
          <w:tcPr>
            <w:tcW w:w="980" w:type="dxa"/>
            <w:vAlign w:val="bottom"/>
            <w:tcBorders>
              <w:right w:val="single" w:sz="8" w:color="auto"/>
            </w:tcBorders>
            <w:shd w:val="clear" w:color="auto" w:fill="CCEBFF"/>
          </w:tcPr>
          <w:p>
            <w:pPr>
              <w:spacing w:after="0"/>
              <w:rPr>
                <w:sz w:val="13"/>
                <w:szCs w:val="13"/>
                <w:color w:val="auto"/>
              </w:rPr>
            </w:pPr>
          </w:p>
        </w:tc>
        <w:tc>
          <w:tcPr>
            <w:tcW w:w="140" w:type="dxa"/>
            <w:vAlign w:val="bottom"/>
            <w:shd w:val="clear" w:color="auto" w:fill="CCEBFF"/>
          </w:tcPr>
          <w:p>
            <w:pPr>
              <w:spacing w:after="0"/>
              <w:rPr>
                <w:sz w:val="13"/>
                <w:szCs w:val="13"/>
                <w:color w:val="auto"/>
              </w:rPr>
            </w:pPr>
          </w:p>
        </w:tc>
        <w:tc>
          <w:tcPr>
            <w:tcW w:w="940" w:type="dxa"/>
            <w:vAlign w:val="bottom"/>
            <w:tcBorders>
              <w:right w:val="single" w:sz="8" w:color="auto"/>
            </w:tcBorders>
            <w:shd w:val="clear" w:color="auto" w:fill="CCEBFF"/>
          </w:tcPr>
          <w:p>
            <w:pPr>
              <w:spacing w:after="0"/>
              <w:rPr>
                <w:sz w:val="13"/>
                <w:szCs w:val="13"/>
                <w:color w:val="auto"/>
              </w:rPr>
            </w:pPr>
          </w:p>
        </w:tc>
        <w:tc>
          <w:tcPr>
            <w:tcW w:w="1080" w:type="dxa"/>
            <w:vAlign w:val="bottom"/>
            <w:tcBorders>
              <w:right w:val="single" w:sz="8" w:color="auto"/>
            </w:tcBorders>
            <w:shd w:val="clear" w:color="auto" w:fill="CCEBFF"/>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54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Arial" w:cs="Arial" w:eastAsia="Arial" w:hAnsi="Arial"/>
                <w:sz w:val="16"/>
                <w:szCs w:val="16"/>
                <w:color w:val="auto"/>
                <w:w w:val="94"/>
              </w:rPr>
              <w:t>Endurable Building Products, LLC</w:t>
            </w:r>
          </w:p>
        </w:tc>
        <w:tc>
          <w:tcPr>
            <w:tcW w:w="1400" w:type="dxa"/>
            <w:vAlign w:val="bottom"/>
            <w:tcBorders>
              <w:bottom w:val="single" w:sz="8" w:color="auto"/>
              <w:right w:val="single" w:sz="8" w:color="auto"/>
            </w:tcBorders>
            <w:shd w:val="clear" w:color="auto" w:fill="CCEBFF"/>
          </w:tcPr>
          <w:p>
            <w:pPr>
              <w:spacing w:after="0"/>
              <w:rPr>
                <w:sz w:val="18"/>
                <w:szCs w:val="18"/>
                <w:color w:val="auto"/>
              </w:rPr>
            </w:pPr>
          </w:p>
        </w:tc>
        <w:tc>
          <w:tcPr>
            <w:tcW w:w="176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2"/>
              </w:rPr>
              <w:t>contingent consideration</w:t>
            </w:r>
          </w:p>
        </w:tc>
        <w:tc>
          <w:tcPr>
            <w:tcW w:w="80" w:type="dxa"/>
            <w:vAlign w:val="bottom"/>
            <w:tcBorders>
              <w:bottom w:val="single" w:sz="8" w:color="auto"/>
            </w:tcBorders>
            <w:shd w:val="clear" w:color="auto" w:fill="CCEBFF"/>
          </w:tcPr>
          <w:p>
            <w:pPr>
              <w:spacing w:after="0"/>
              <w:rPr>
                <w:sz w:val="18"/>
                <w:szCs w:val="18"/>
                <w:color w:val="auto"/>
              </w:rPr>
            </w:pPr>
          </w:p>
        </w:tc>
        <w:tc>
          <w:tcPr>
            <w:tcW w:w="980" w:type="dxa"/>
            <w:vAlign w:val="bottom"/>
            <w:tcBorders>
              <w:bottom w:val="single" w:sz="8" w:color="auto"/>
              <w:right w:val="single" w:sz="8" w:color="auto"/>
            </w:tcBorders>
            <w:shd w:val="clear" w:color="auto" w:fill="CCEBFF"/>
          </w:tcPr>
          <w:p>
            <w:pPr>
              <w:spacing w:after="0"/>
              <w:rPr>
                <w:sz w:val="18"/>
                <w:szCs w:val="18"/>
                <w:color w:val="auto"/>
              </w:rPr>
            </w:pPr>
          </w:p>
        </w:tc>
        <w:tc>
          <w:tcPr>
            <w:tcW w:w="140" w:type="dxa"/>
            <w:vAlign w:val="bottom"/>
            <w:tcBorders>
              <w:bottom w:val="single" w:sz="8" w:color="auto"/>
            </w:tcBorders>
            <w:shd w:val="clear" w:color="auto" w:fill="CCEBFF"/>
          </w:tcPr>
          <w:p>
            <w:pPr>
              <w:spacing w:after="0"/>
              <w:rPr>
                <w:sz w:val="18"/>
                <w:szCs w:val="18"/>
                <w:color w:val="auto"/>
              </w:rPr>
            </w:pPr>
          </w:p>
        </w:tc>
        <w:tc>
          <w:tcPr>
            <w:tcW w:w="940" w:type="dxa"/>
            <w:vAlign w:val="bottom"/>
            <w:tcBorders>
              <w:bottom w:val="single" w:sz="8" w:color="auto"/>
              <w:right w:val="single" w:sz="8" w:color="auto"/>
            </w:tcBorders>
            <w:shd w:val="clear" w:color="auto" w:fill="CCEBFF"/>
          </w:tcPr>
          <w:p>
            <w:pPr>
              <w:spacing w:after="0"/>
              <w:rPr>
                <w:sz w:val="18"/>
                <w:szCs w:val="18"/>
                <w:color w:val="auto"/>
              </w:rPr>
            </w:pPr>
          </w:p>
        </w:tc>
        <w:tc>
          <w:tcPr>
            <w:tcW w:w="108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540" w:type="dxa"/>
            <w:vAlign w:val="bottom"/>
            <w:tcBorders>
              <w:left w:val="single" w:sz="8" w:color="auto"/>
              <w:right w:val="single" w:sz="8" w:color="auto"/>
            </w:tcBorders>
            <w:vMerge w:val="continue"/>
            <w:shd w:val="clear" w:color="auto" w:fill="CCEBFF"/>
          </w:tcPr>
          <w:p>
            <w:pPr>
              <w:spacing w:after="0"/>
              <w:rPr>
                <w:sz w:val="15"/>
                <w:szCs w:val="15"/>
                <w:color w:val="auto"/>
              </w:rPr>
            </w:pPr>
          </w:p>
        </w:tc>
        <w:tc>
          <w:tcPr>
            <w:tcW w:w="6380" w:type="dxa"/>
            <w:vAlign w:val="bottom"/>
            <w:tcBorders>
              <w:right w:val="single" w:sz="8" w:color="auto"/>
            </w:tcBorders>
            <w:gridSpan w:val="7"/>
            <w:shd w:val="clear" w:color="auto" w:fill="CCEBFF"/>
          </w:tcPr>
          <w:p>
            <w:pPr>
              <w:spacing w:after="0" w:line="176" w:lineRule="exact"/>
              <w:rPr>
                <w:sz w:val="20"/>
                <w:szCs w:val="20"/>
                <w:color w:val="auto"/>
              </w:rPr>
            </w:pPr>
            <w:r>
              <w:rPr>
                <w:rFonts w:ascii="Arial" w:cs="Arial" w:eastAsia="Arial" w:hAnsi="Arial"/>
                <w:sz w:val="16"/>
                <w:szCs w:val="16"/>
                <w:color w:val="auto"/>
                <w:w w:val="91"/>
              </w:rPr>
              <w:t>Based near Minneapolis, Minnesota, Endurable is a leading manufacturer of customized structural</w:t>
            </w:r>
          </w:p>
        </w:tc>
        <w:tc>
          <w:tcPr>
            <w:tcW w:w="0" w:type="dxa"/>
            <w:vAlign w:val="bottom"/>
          </w:tcPr>
          <w:p>
            <w:pPr>
              <w:spacing w:after="0"/>
              <w:rPr>
                <w:sz w:val="1"/>
                <w:szCs w:val="1"/>
                <w:color w:val="auto"/>
              </w:rPr>
            </w:pPr>
          </w:p>
        </w:tc>
      </w:tr>
      <w:tr>
        <w:trPr>
          <w:trHeight w:val="216"/>
        </w:trPr>
        <w:tc>
          <w:tcPr>
            <w:tcW w:w="2540" w:type="dxa"/>
            <w:vAlign w:val="bottom"/>
            <w:tcBorders>
              <w:left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3"/>
              </w:rPr>
              <w:t>(Endurable)</w:t>
            </w: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rPr>
              <w:t>aluminum systems and products for exterior purposes, such as deck framing, balconies,</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7"/>
              </w:rPr>
              <w:t>sunshades, railings and stairs. The company’s trademarked alumiLAST aluminum deck and</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2"/>
              </w:rPr>
              <w:t>balcony systems are known for their low-maintenance design and ease of installation. Endurable</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rPr>
              <w:t>serves general contractors in the multifamily market throughout the U.S. and had sales of</w:t>
            </w:r>
          </w:p>
        </w:tc>
        <w:tc>
          <w:tcPr>
            <w:tcW w:w="0" w:type="dxa"/>
            <w:vAlign w:val="bottom"/>
          </w:tcPr>
          <w:p>
            <w:pPr>
              <w:spacing w:after="0"/>
              <w:rPr>
                <w:sz w:val="1"/>
                <w:szCs w:val="1"/>
                <w:color w:val="auto"/>
              </w:rPr>
            </w:pPr>
          </w:p>
        </w:tc>
      </w:tr>
      <w:tr>
        <w:trPr>
          <w:trHeight w:val="219"/>
        </w:trPr>
        <w:tc>
          <w:tcPr>
            <w:tcW w:w="254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3240" w:type="dxa"/>
            <w:vAlign w:val="bottom"/>
            <w:tcBorders>
              <w:bottom w:val="single" w:sz="8" w:color="auto"/>
            </w:tcBorders>
            <w:gridSpan w:val="3"/>
            <w:shd w:val="clear" w:color="auto" w:fill="CCEBFF"/>
          </w:tcPr>
          <w:p>
            <w:pPr>
              <w:spacing w:after="0"/>
              <w:rPr>
                <w:sz w:val="20"/>
                <w:szCs w:val="20"/>
                <w:color w:val="auto"/>
              </w:rPr>
            </w:pPr>
            <w:r>
              <w:rPr>
                <w:rFonts w:ascii="Arial" w:cs="Arial" w:eastAsia="Arial" w:hAnsi="Arial"/>
                <w:sz w:val="16"/>
                <w:szCs w:val="16"/>
                <w:color w:val="auto"/>
              </w:rPr>
              <w:t>approximately $15 million in 2020.</w:t>
            </w:r>
          </w:p>
        </w:tc>
        <w:tc>
          <w:tcPr>
            <w:tcW w:w="980" w:type="dxa"/>
            <w:vAlign w:val="bottom"/>
            <w:tcBorders>
              <w:bottom w:val="single" w:sz="8" w:color="auto"/>
              <w:right w:val="single" w:sz="8" w:color="CCEBFF"/>
            </w:tcBorders>
            <w:shd w:val="clear" w:color="auto" w:fill="CCEBFF"/>
          </w:tcPr>
          <w:p>
            <w:pPr>
              <w:spacing w:after="0"/>
              <w:rPr>
                <w:sz w:val="19"/>
                <w:szCs w:val="19"/>
                <w:color w:val="auto"/>
              </w:rPr>
            </w:pPr>
          </w:p>
        </w:tc>
        <w:tc>
          <w:tcPr>
            <w:tcW w:w="140" w:type="dxa"/>
            <w:vAlign w:val="bottom"/>
            <w:tcBorders>
              <w:bottom w:val="single" w:sz="8" w:color="auto"/>
            </w:tcBorders>
            <w:shd w:val="clear" w:color="auto" w:fill="CCEBFF"/>
          </w:tcPr>
          <w:p>
            <w:pPr>
              <w:spacing w:after="0"/>
              <w:rPr>
                <w:sz w:val="19"/>
                <w:szCs w:val="19"/>
                <w:color w:val="auto"/>
              </w:rPr>
            </w:pPr>
          </w:p>
        </w:tc>
        <w:tc>
          <w:tcPr>
            <w:tcW w:w="940" w:type="dxa"/>
            <w:vAlign w:val="bottom"/>
            <w:tcBorders>
              <w:bottom w:val="single" w:sz="8" w:color="auto"/>
              <w:right w:val="single" w:sz="8" w:color="CCEBFF"/>
            </w:tcBorders>
            <w:shd w:val="clear" w:color="auto" w:fill="CCEBFF"/>
          </w:tcPr>
          <w:p>
            <w:pPr>
              <w:spacing w:after="0"/>
              <w:rPr>
                <w:sz w:val="19"/>
                <w:szCs w:val="19"/>
                <w:color w:val="auto"/>
              </w:rPr>
            </w:pPr>
          </w:p>
        </w:tc>
        <w:tc>
          <w:tcPr>
            <w:tcW w:w="108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540" w:type="dxa"/>
            <w:vAlign w:val="bottom"/>
            <w:tcBorders>
              <w:left w:val="single" w:sz="8" w:color="auto"/>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$9,549</w:t>
            </w:r>
          </w:p>
        </w:tc>
        <w:tc>
          <w:tcPr>
            <w:tcW w:w="8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540" w:type="dxa"/>
            <w:vAlign w:val="bottom"/>
            <w:tcBorders>
              <w:left w:val="single" w:sz="8" w:color="auto"/>
              <w:right w:val="single" w:sz="8" w:color="auto"/>
            </w:tcBorders>
          </w:tcPr>
          <w:p>
            <w:pPr>
              <w:spacing w:after="0"/>
              <w:rPr>
                <w:sz w:val="21"/>
                <w:szCs w:val="21"/>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April 19, 2021</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cash paid for 100% asset</w:t>
            </w:r>
          </w:p>
        </w:tc>
        <w:tc>
          <w:tcPr>
            <w:tcW w:w="80" w:type="dxa"/>
            <w:vAlign w:val="bottom"/>
          </w:tcPr>
          <w:p>
            <w:pPr>
              <w:jc w:val="right"/>
              <w:ind w:right="15"/>
              <w:spacing w:after="0"/>
              <w:rPr>
                <w:sz w:val="20"/>
                <w:szCs w:val="20"/>
                <w:color w:val="auto"/>
              </w:rPr>
            </w:pPr>
            <w:r>
              <w:rPr>
                <w:rFonts w:ascii="Arial" w:cs="Arial" w:eastAsia="Arial" w:hAnsi="Arial"/>
                <w:sz w:val="5"/>
                <w:szCs w:val="5"/>
                <w:color w:val="auto"/>
                <w:w w:val="70"/>
              </w:rPr>
              <w:t>$</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2,526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7,023</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Retail</w:t>
            </w:r>
          </w:p>
        </w:tc>
        <w:tc>
          <w:tcPr>
            <w:tcW w:w="0" w:type="dxa"/>
            <w:vAlign w:val="bottom"/>
          </w:tcPr>
          <w:p>
            <w:pPr>
              <w:spacing w:after="0"/>
              <w:rPr>
                <w:sz w:val="1"/>
                <w:szCs w:val="1"/>
                <w:color w:val="auto"/>
              </w:rPr>
            </w:pPr>
          </w:p>
        </w:tc>
      </w:tr>
      <w:tr>
        <w:trPr>
          <w:trHeight w:val="152"/>
        </w:trPr>
        <w:tc>
          <w:tcPr>
            <w:tcW w:w="2540" w:type="dxa"/>
            <w:vAlign w:val="bottom"/>
            <w:tcBorders>
              <w:left w:val="single" w:sz="8" w:color="auto"/>
              <w:right w:val="single" w:sz="8" w:color="auto"/>
            </w:tcBorders>
          </w:tcPr>
          <w:p>
            <w:pPr>
              <w:spacing w:after="0"/>
              <w:rPr>
                <w:sz w:val="13"/>
                <w:szCs w:val="13"/>
                <w:color w:val="auto"/>
              </w:rPr>
            </w:pPr>
          </w:p>
        </w:tc>
        <w:tc>
          <w:tcPr>
            <w:tcW w:w="1400" w:type="dxa"/>
            <w:vAlign w:val="bottom"/>
            <w:tcBorders>
              <w:right w:val="single" w:sz="8" w:color="auto"/>
            </w:tcBorders>
          </w:tcPr>
          <w:p>
            <w:pPr>
              <w:spacing w:after="0"/>
              <w:rPr>
                <w:sz w:val="13"/>
                <w:szCs w:val="13"/>
                <w:color w:val="auto"/>
              </w:rPr>
            </w:pPr>
          </w:p>
        </w:tc>
        <w:tc>
          <w:tcPr>
            <w:tcW w:w="1760" w:type="dxa"/>
            <w:vAlign w:val="bottom"/>
            <w:tcBorders>
              <w:right w:val="single" w:sz="8" w:color="auto"/>
            </w:tcBorders>
          </w:tcPr>
          <w:p>
            <w:pPr>
              <w:jc w:val="center"/>
              <w:spacing w:after="0" w:line="152" w:lineRule="exact"/>
              <w:rPr>
                <w:sz w:val="20"/>
                <w:szCs w:val="20"/>
                <w:color w:val="auto"/>
              </w:rPr>
            </w:pPr>
            <w:r>
              <w:rPr>
                <w:rFonts w:ascii="Arial" w:cs="Arial" w:eastAsia="Arial" w:hAnsi="Arial"/>
                <w:sz w:val="16"/>
                <w:szCs w:val="16"/>
                <w:color w:val="auto"/>
                <w:w w:val="88"/>
              </w:rPr>
              <w:t>purchase and estimated</w:t>
            </w:r>
          </w:p>
        </w:tc>
        <w:tc>
          <w:tcPr>
            <w:tcW w:w="8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5"/>
              </w:rPr>
              <w:t>Walnut Hollow Farm, Inc.</w:t>
            </w:r>
          </w:p>
        </w:tc>
        <w:tc>
          <w:tcPr>
            <w:tcW w:w="140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contingent consideration</w:t>
            </w: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540" w:type="dxa"/>
            <w:vAlign w:val="bottom"/>
            <w:tcBorders>
              <w:left w:val="single" w:sz="8" w:color="auto"/>
              <w:right w:val="single" w:sz="8" w:color="auto"/>
            </w:tcBorders>
            <w:vMerge w:val="continue"/>
          </w:tcPr>
          <w:p>
            <w:pPr>
              <w:spacing w:after="0"/>
              <w:rPr>
                <w:sz w:val="16"/>
                <w:szCs w:val="16"/>
                <w:color w:val="auto"/>
              </w:rPr>
            </w:pPr>
          </w:p>
        </w:tc>
        <w:tc>
          <w:tcPr>
            <w:tcW w:w="638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rPr>
              <w:t>Walnut Hollow Farm, located in Wisconsin, is engaged in the business of designing,</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5"/>
              </w:rPr>
              <w:t>manufacturing, selling, and distributing wood products, tools, and accessories for the craft and</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3"/>
              </w:rPr>
              <w:t>hobby, outdoor sportsman art, personalized home décor, and hardware categories, with sales of</w:t>
            </w:r>
          </w:p>
        </w:tc>
        <w:tc>
          <w:tcPr>
            <w:tcW w:w="0" w:type="dxa"/>
            <w:vAlign w:val="bottom"/>
          </w:tcPr>
          <w:p>
            <w:pPr>
              <w:spacing w:after="0"/>
              <w:rPr>
                <w:sz w:val="1"/>
                <w:szCs w:val="1"/>
                <w:color w:val="auto"/>
              </w:rPr>
            </w:pPr>
          </w:p>
        </w:tc>
      </w:tr>
      <w:tr>
        <w:trPr>
          <w:trHeight w:val="219"/>
        </w:trPr>
        <w:tc>
          <w:tcPr>
            <w:tcW w:w="2540" w:type="dxa"/>
            <w:vAlign w:val="bottom"/>
            <w:tcBorders>
              <w:left w:val="single" w:sz="8" w:color="auto"/>
              <w:bottom w:val="single" w:sz="8" w:color="auto"/>
              <w:right w:val="single" w:sz="8" w:color="auto"/>
            </w:tcBorders>
          </w:tcPr>
          <w:p>
            <w:pPr>
              <w:spacing w:after="0"/>
              <w:rPr>
                <w:sz w:val="19"/>
                <w:szCs w:val="19"/>
                <w:color w:val="auto"/>
              </w:rPr>
            </w:pPr>
          </w:p>
        </w:tc>
        <w:tc>
          <w:tcPr>
            <w:tcW w:w="324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approximately $11.6 million in 2020.</w:t>
            </w:r>
          </w:p>
        </w:tc>
        <w:tc>
          <w:tcPr>
            <w:tcW w:w="9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540" w:type="dxa"/>
            <w:vAlign w:val="bottom"/>
            <w:tcBorders>
              <w:left w:val="single" w:sz="8" w:color="auto"/>
              <w:right w:val="single" w:sz="8" w:color="auto"/>
            </w:tcBorders>
            <w:shd w:val="clear" w:color="auto" w:fill="CCEBFF"/>
          </w:tcPr>
          <w:p>
            <w:pPr>
              <w:spacing w:after="0"/>
              <w:rPr>
                <w:sz w:val="16"/>
                <w:szCs w:val="16"/>
                <w:color w:val="auto"/>
              </w:rPr>
            </w:pPr>
          </w:p>
        </w:tc>
        <w:tc>
          <w:tcPr>
            <w:tcW w:w="1400" w:type="dxa"/>
            <w:vAlign w:val="bottom"/>
            <w:tcBorders>
              <w:right w:val="single" w:sz="8" w:color="auto"/>
            </w:tcBorders>
            <w:shd w:val="clear" w:color="auto" w:fill="CCEBFF"/>
          </w:tcPr>
          <w:p>
            <w:pPr>
              <w:spacing w:after="0"/>
              <w:rPr>
                <w:sz w:val="16"/>
                <w:szCs w:val="16"/>
                <w:color w:val="auto"/>
              </w:rPr>
            </w:pPr>
          </w:p>
        </w:tc>
        <w:tc>
          <w:tcPr>
            <w:tcW w:w="17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9"/>
              </w:rPr>
              <w:t>$153,426</w:t>
            </w:r>
          </w:p>
        </w:tc>
        <w:tc>
          <w:tcPr>
            <w:tcW w:w="80" w:type="dxa"/>
            <w:vAlign w:val="bottom"/>
            <w:shd w:val="clear" w:color="auto" w:fill="CCEBFF"/>
          </w:tcPr>
          <w:p>
            <w:pPr>
              <w:spacing w:after="0"/>
              <w:rPr>
                <w:sz w:val="16"/>
                <w:szCs w:val="16"/>
                <w:color w:val="auto"/>
              </w:rPr>
            </w:pPr>
          </w:p>
        </w:tc>
        <w:tc>
          <w:tcPr>
            <w:tcW w:w="980" w:type="dxa"/>
            <w:vAlign w:val="bottom"/>
            <w:tcBorders>
              <w:right w:val="single" w:sz="8" w:color="auto"/>
            </w:tcBorders>
            <w:shd w:val="clear" w:color="auto" w:fill="CCEBFF"/>
          </w:tcPr>
          <w:p>
            <w:pPr>
              <w:spacing w:after="0"/>
              <w:rPr>
                <w:sz w:val="16"/>
                <w:szCs w:val="16"/>
                <w:color w:val="auto"/>
              </w:rPr>
            </w:pPr>
          </w:p>
        </w:tc>
        <w:tc>
          <w:tcPr>
            <w:tcW w:w="140" w:type="dxa"/>
            <w:vAlign w:val="bottom"/>
            <w:shd w:val="clear" w:color="auto" w:fill="CCEBFF"/>
          </w:tcPr>
          <w:p>
            <w:pPr>
              <w:spacing w:after="0"/>
              <w:rPr>
                <w:sz w:val="16"/>
                <w:szCs w:val="16"/>
                <w:color w:val="auto"/>
              </w:rPr>
            </w:pPr>
          </w:p>
        </w:tc>
        <w:tc>
          <w:tcPr>
            <w:tcW w:w="940" w:type="dxa"/>
            <w:vAlign w:val="bottom"/>
            <w:tcBorders>
              <w:right w:val="single" w:sz="8" w:color="auto"/>
            </w:tcBorders>
            <w:shd w:val="clear" w:color="auto" w:fill="CCEBFF"/>
          </w:tcPr>
          <w:p>
            <w:pPr>
              <w:spacing w:after="0"/>
              <w:rPr>
                <w:sz w:val="16"/>
                <w:szCs w:val="16"/>
                <w:color w:val="auto"/>
              </w:rPr>
            </w:pPr>
          </w:p>
        </w:tc>
        <w:tc>
          <w:tcPr>
            <w:tcW w:w="108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140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5"/>
              </w:rPr>
              <w:t>April 12, 2021</w:t>
            </w:r>
          </w:p>
        </w:tc>
        <w:tc>
          <w:tcPr>
            <w:tcW w:w="17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9"/>
              </w:rPr>
              <w:t>cash paid for 100% asset</w:t>
            </w:r>
          </w:p>
        </w:tc>
        <w:tc>
          <w:tcPr>
            <w:tcW w:w="80" w:type="dxa"/>
            <w:vAlign w:val="bottom"/>
            <w:shd w:val="clear" w:color="auto" w:fill="CCEBFF"/>
          </w:tcPr>
          <w:p>
            <w:pPr>
              <w:jc w:val="right"/>
              <w:ind w:right="15"/>
              <w:spacing w:after="0"/>
              <w:rPr>
                <w:sz w:val="20"/>
                <w:szCs w:val="20"/>
                <w:color w:val="auto"/>
              </w:rPr>
            </w:pPr>
            <w:r>
              <w:rPr>
                <w:rFonts w:ascii="Arial" w:cs="Arial" w:eastAsia="Arial" w:hAnsi="Arial"/>
                <w:sz w:val="5"/>
                <w:szCs w:val="5"/>
                <w:color w:val="auto"/>
                <w:w w:val="70"/>
              </w:rPr>
              <w:t>$</w:t>
            </w:r>
          </w:p>
        </w:tc>
        <w:tc>
          <w:tcPr>
            <w:tcW w:w="98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B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153,426</w:t>
            </w:r>
          </w:p>
        </w:tc>
        <w:tc>
          <w:tcPr>
            <w:tcW w:w="108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2"/>
              </w:rPr>
              <w:t>Retail</w:t>
            </w:r>
          </w:p>
        </w:tc>
        <w:tc>
          <w:tcPr>
            <w:tcW w:w="0" w:type="dxa"/>
            <w:vAlign w:val="bottom"/>
          </w:tcPr>
          <w:p>
            <w:pPr>
              <w:spacing w:after="0"/>
              <w:rPr>
                <w:sz w:val="1"/>
                <w:szCs w:val="1"/>
                <w:color w:val="auto"/>
              </w:rPr>
            </w:pPr>
          </w:p>
        </w:tc>
      </w:tr>
      <w:tr>
        <w:trPr>
          <w:trHeight w:val="209"/>
        </w:trPr>
        <w:tc>
          <w:tcPr>
            <w:tcW w:w="254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Arial" w:cs="Arial" w:eastAsia="Arial" w:hAnsi="Arial"/>
                <w:sz w:val="16"/>
                <w:szCs w:val="16"/>
                <w:color w:val="auto"/>
                <w:w w:val="90"/>
              </w:rPr>
              <w:t>Spartanburg Forest Products, Inc.</w:t>
            </w:r>
          </w:p>
        </w:tc>
        <w:tc>
          <w:tcPr>
            <w:tcW w:w="1400" w:type="dxa"/>
            <w:vAlign w:val="bottom"/>
            <w:tcBorders>
              <w:bottom w:val="single" w:sz="8" w:color="auto"/>
              <w:right w:val="single" w:sz="8" w:color="auto"/>
            </w:tcBorders>
            <w:shd w:val="clear" w:color="auto" w:fill="CCEBFF"/>
          </w:tcPr>
          <w:p>
            <w:pPr>
              <w:spacing w:after="0"/>
              <w:rPr>
                <w:sz w:val="18"/>
                <w:szCs w:val="18"/>
                <w:color w:val="auto"/>
              </w:rPr>
            </w:pPr>
          </w:p>
        </w:tc>
        <w:tc>
          <w:tcPr>
            <w:tcW w:w="176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8"/>
              </w:rPr>
              <w:t>purchase</w:t>
            </w:r>
          </w:p>
        </w:tc>
        <w:tc>
          <w:tcPr>
            <w:tcW w:w="80" w:type="dxa"/>
            <w:vAlign w:val="bottom"/>
            <w:tcBorders>
              <w:bottom w:val="single" w:sz="8" w:color="auto"/>
            </w:tcBorders>
            <w:shd w:val="clear" w:color="auto" w:fill="CCEBFF"/>
          </w:tcPr>
          <w:p>
            <w:pPr>
              <w:spacing w:after="0"/>
              <w:rPr>
                <w:sz w:val="18"/>
                <w:szCs w:val="18"/>
                <w:color w:val="auto"/>
              </w:rPr>
            </w:pPr>
          </w:p>
        </w:tc>
        <w:tc>
          <w:tcPr>
            <w:tcW w:w="980" w:type="dxa"/>
            <w:vAlign w:val="bottom"/>
            <w:tcBorders>
              <w:bottom w:val="single" w:sz="8" w:color="auto"/>
              <w:right w:val="single" w:sz="8" w:color="auto"/>
            </w:tcBorders>
            <w:shd w:val="clear" w:color="auto" w:fill="CCEBFF"/>
          </w:tcPr>
          <w:p>
            <w:pPr>
              <w:spacing w:after="0"/>
              <w:rPr>
                <w:sz w:val="18"/>
                <w:szCs w:val="18"/>
                <w:color w:val="auto"/>
              </w:rPr>
            </w:pPr>
          </w:p>
        </w:tc>
        <w:tc>
          <w:tcPr>
            <w:tcW w:w="140" w:type="dxa"/>
            <w:vAlign w:val="bottom"/>
            <w:tcBorders>
              <w:bottom w:val="single" w:sz="8" w:color="auto"/>
            </w:tcBorders>
            <w:shd w:val="clear" w:color="auto" w:fill="CCEBFF"/>
          </w:tcPr>
          <w:p>
            <w:pPr>
              <w:spacing w:after="0"/>
              <w:rPr>
                <w:sz w:val="18"/>
                <w:szCs w:val="18"/>
                <w:color w:val="auto"/>
              </w:rPr>
            </w:pPr>
          </w:p>
        </w:tc>
        <w:tc>
          <w:tcPr>
            <w:tcW w:w="940" w:type="dxa"/>
            <w:vAlign w:val="bottom"/>
            <w:tcBorders>
              <w:bottom w:val="single" w:sz="8" w:color="auto"/>
              <w:right w:val="single" w:sz="8" w:color="auto"/>
            </w:tcBorders>
            <w:shd w:val="clear" w:color="auto" w:fill="CCEBFF"/>
          </w:tcPr>
          <w:p>
            <w:pPr>
              <w:spacing w:after="0"/>
              <w:rPr>
                <w:sz w:val="18"/>
                <w:szCs w:val="18"/>
                <w:color w:val="auto"/>
              </w:rPr>
            </w:pPr>
          </w:p>
        </w:tc>
        <w:tc>
          <w:tcPr>
            <w:tcW w:w="108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540" w:type="dxa"/>
            <w:vAlign w:val="bottom"/>
            <w:tcBorders>
              <w:left w:val="single" w:sz="8" w:color="auto"/>
              <w:right w:val="single" w:sz="8" w:color="auto"/>
            </w:tcBorders>
            <w:vMerge w:val="continue"/>
            <w:shd w:val="clear" w:color="auto" w:fill="CCEBFF"/>
          </w:tcPr>
          <w:p>
            <w:pPr>
              <w:spacing w:after="0"/>
              <w:rPr>
                <w:sz w:val="16"/>
                <w:szCs w:val="16"/>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6"/>
              </w:rPr>
              <w:t>Headquartered in Greer, South Carolina, Spartanburg Forest Products and its affiliates are a</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2"/>
              </w:rPr>
              <w:t>premier wood treating operation in the U.S., with approximately 150 employees and operations in</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3"/>
              </w:rPr>
              <w:t>five states. Its affiliates include Appalachian Forest Products, Innovative Design Industries, Blue</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6"/>
              </w:rPr>
              <w:t>Ridge Wood Preserving, Blue Ridge Wood Products, and Tidewater Wood Products and had</w:t>
            </w:r>
          </w:p>
        </w:tc>
        <w:tc>
          <w:tcPr>
            <w:tcW w:w="0" w:type="dxa"/>
            <w:vAlign w:val="bottom"/>
          </w:tcPr>
          <w:p>
            <w:pPr>
              <w:spacing w:after="0"/>
              <w:rPr>
                <w:sz w:val="1"/>
                <w:szCs w:val="1"/>
                <w:color w:val="auto"/>
              </w:rPr>
            </w:pPr>
          </w:p>
        </w:tc>
      </w:tr>
      <w:tr>
        <w:trPr>
          <w:trHeight w:val="219"/>
        </w:trPr>
        <w:tc>
          <w:tcPr>
            <w:tcW w:w="254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4360" w:type="dxa"/>
            <w:vAlign w:val="bottom"/>
            <w:tcBorders>
              <w:bottom w:val="single" w:sz="8" w:color="auto"/>
            </w:tcBorders>
            <w:gridSpan w:val="5"/>
            <w:shd w:val="clear" w:color="auto" w:fill="CCEBFF"/>
          </w:tcPr>
          <w:p>
            <w:pPr>
              <w:spacing w:after="0"/>
              <w:rPr>
                <w:sz w:val="20"/>
                <w:szCs w:val="20"/>
                <w:color w:val="auto"/>
              </w:rPr>
            </w:pPr>
            <w:r>
              <w:rPr>
                <w:rFonts w:ascii="Arial" w:cs="Arial" w:eastAsia="Arial" w:hAnsi="Arial"/>
                <w:sz w:val="16"/>
                <w:szCs w:val="16"/>
                <w:color w:val="auto"/>
              </w:rPr>
              <w:t>combined sales of approximately $543.0 million in 2020.</w:t>
            </w:r>
          </w:p>
        </w:tc>
        <w:tc>
          <w:tcPr>
            <w:tcW w:w="940" w:type="dxa"/>
            <w:vAlign w:val="bottom"/>
            <w:tcBorders>
              <w:bottom w:val="single" w:sz="8" w:color="auto"/>
              <w:right w:val="single" w:sz="8" w:color="CCEBFF"/>
            </w:tcBorders>
            <w:shd w:val="clear" w:color="auto" w:fill="CCEBFF"/>
          </w:tcPr>
          <w:p>
            <w:pPr>
              <w:spacing w:after="0"/>
              <w:rPr>
                <w:sz w:val="19"/>
                <w:szCs w:val="19"/>
                <w:color w:val="auto"/>
              </w:rPr>
            </w:pPr>
          </w:p>
        </w:tc>
        <w:tc>
          <w:tcPr>
            <w:tcW w:w="108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540" w:type="dxa"/>
            <w:vAlign w:val="bottom"/>
            <w:tcBorders>
              <w:left w:val="single" w:sz="8" w:color="auto"/>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$4,724</w:t>
            </w:r>
          </w:p>
        </w:tc>
        <w:tc>
          <w:tcPr>
            <w:tcW w:w="8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540" w:type="dxa"/>
            <w:vAlign w:val="bottom"/>
            <w:tcBorders>
              <w:left w:val="single" w:sz="8" w:color="auto"/>
              <w:right w:val="single" w:sz="8" w:color="auto"/>
            </w:tcBorders>
          </w:tcPr>
          <w:p>
            <w:pPr>
              <w:spacing w:after="0"/>
              <w:rPr>
                <w:sz w:val="21"/>
                <w:szCs w:val="21"/>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March 1, 2021</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cash paid for 100% asset</w:t>
            </w:r>
          </w:p>
        </w:tc>
        <w:tc>
          <w:tcPr>
            <w:tcW w:w="80" w:type="dxa"/>
            <w:vAlign w:val="bottom"/>
          </w:tcPr>
          <w:p>
            <w:pPr>
              <w:jc w:val="right"/>
              <w:ind w:right="15"/>
              <w:spacing w:after="0"/>
              <w:rPr>
                <w:sz w:val="20"/>
                <w:szCs w:val="20"/>
                <w:color w:val="auto"/>
              </w:rPr>
            </w:pPr>
            <w:r>
              <w:rPr>
                <w:rFonts w:ascii="Arial" w:cs="Arial" w:eastAsia="Arial" w:hAnsi="Arial"/>
                <w:sz w:val="5"/>
                <w:szCs w:val="5"/>
                <w:color w:val="auto"/>
                <w:w w:val="70"/>
              </w:rPr>
              <w:t>$</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4,264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460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Other</w:t>
            </w:r>
          </w:p>
        </w:tc>
        <w:tc>
          <w:tcPr>
            <w:tcW w:w="0" w:type="dxa"/>
            <w:vAlign w:val="bottom"/>
          </w:tcPr>
          <w:p>
            <w:pPr>
              <w:spacing w:after="0"/>
              <w:rPr>
                <w:sz w:val="1"/>
                <w:szCs w:val="1"/>
                <w:color w:val="auto"/>
              </w:rPr>
            </w:pPr>
          </w:p>
        </w:tc>
      </w:tr>
      <w:tr>
        <w:trPr>
          <w:trHeight w:val="152"/>
        </w:trPr>
        <w:tc>
          <w:tcPr>
            <w:tcW w:w="2540" w:type="dxa"/>
            <w:vAlign w:val="bottom"/>
            <w:tcBorders>
              <w:left w:val="single" w:sz="8" w:color="auto"/>
              <w:right w:val="single" w:sz="8" w:color="auto"/>
            </w:tcBorders>
          </w:tcPr>
          <w:p>
            <w:pPr>
              <w:spacing w:after="0"/>
              <w:rPr>
                <w:sz w:val="13"/>
                <w:szCs w:val="13"/>
                <w:color w:val="auto"/>
              </w:rPr>
            </w:pPr>
          </w:p>
        </w:tc>
        <w:tc>
          <w:tcPr>
            <w:tcW w:w="1400" w:type="dxa"/>
            <w:vAlign w:val="bottom"/>
            <w:tcBorders>
              <w:right w:val="single" w:sz="8" w:color="auto"/>
            </w:tcBorders>
          </w:tcPr>
          <w:p>
            <w:pPr>
              <w:spacing w:after="0"/>
              <w:rPr>
                <w:sz w:val="13"/>
                <w:szCs w:val="13"/>
                <w:color w:val="auto"/>
              </w:rPr>
            </w:pPr>
          </w:p>
        </w:tc>
        <w:tc>
          <w:tcPr>
            <w:tcW w:w="1760" w:type="dxa"/>
            <w:vAlign w:val="bottom"/>
            <w:tcBorders>
              <w:right w:val="single" w:sz="8" w:color="auto"/>
            </w:tcBorders>
          </w:tcPr>
          <w:p>
            <w:pPr>
              <w:jc w:val="center"/>
              <w:spacing w:after="0" w:line="152" w:lineRule="exact"/>
              <w:rPr>
                <w:sz w:val="20"/>
                <w:szCs w:val="20"/>
                <w:color w:val="auto"/>
              </w:rPr>
            </w:pPr>
            <w:r>
              <w:rPr>
                <w:rFonts w:ascii="Arial" w:cs="Arial" w:eastAsia="Arial" w:hAnsi="Arial"/>
                <w:sz w:val="16"/>
                <w:szCs w:val="16"/>
                <w:color w:val="auto"/>
                <w:w w:val="88"/>
              </w:rPr>
              <w:t>purchase and estimated</w:t>
            </w:r>
          </w:p>
        </w:tc>
        <w:tc>
          <w:tcPr>
            <w:tcW w:w="8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4"/>
              </w:rPr>
              <w:t>J.C. Gilmore Pty Ltd (Gilmores)</w:t>
            </w:r>
          </w:p>
        </w:tc>
        <w:tc>
          <w:tcPr>
            <w:tcW w:w="140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contingent consideration</w:t>
            </w: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540" w:type="dxa"/>
            <w:vAlign w:val="bottom"/>
            <w:tcBorders>
              <w:left w:val="single" w:sz="8" w:color="auto"/>
              <w:right w:val="single" w:sz="8" w:color="auto"/>
            </w:tcBorders>
            <w:vMerge w:val="continue"/>
          </w:tcPr>
          <w:p>
            <w:pPr>
              <w:spacing w:after="0"/>
              <w:rPr>
                <w:sz w:val="16"/>
                <w:szCs w:val="16"/>
                <w:color w:val="auto"/>
              </w:rPr>
            </w:pPr>
          </w:p>
        </w:tc>
        <w:tc>
          <w:tcPr>
            <w:tcW w:w="638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rPr>
              <w:t>Founded in 1988 and operating from its distribution facility in Port Melbourne, Australia,</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4"/>
              </w:rPr>
              <w:t>Gilmores is a leading distributor in the industrial and construction industries of packaging tapes,</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3"/>
              </w:rPr>
              <w:t>stretch films, packaging equipment, strapping, construction protection products and other items,</w:t>
            </w:r>
          </w:p>
        </w:tc>
        <w:tc>
          <w:tcPr>
            <w:tcW w:w="0" w:type="dxa"/>
            <w:vAlign w:val="bottom"/>
          </w:tcPr>
          <w:p>
            <w:pPr>
              <w:spacing w:after="0"/>
              <w:rPr>
                <w:sz w:val="1"/>
                <w:szCs w:val="1"/>
                <w:color w:val="auto"/>
              </w:rPr>
            </w:pPr>
          </w:p>
        </w:tc>
      </w:tr>
      <w:tr>
        <w:trPr>
          <w:trHeight w:val="219"/>
        </w:trPr>
        <w:tc>
          <w:tcPr>
            <w:tcW w:w="2540" w:type="dxa"/>
            <w:vAlign w:val="bottom"/>
            <w:tcBorders>
              <w:left w:val="single" w:sz="8" w:color="auto"/>
              <w:bottom w:val="single" w:sz="8" w:color="auto"/>
              <w:right w:val="single" w:sz="8" w:color="auto"/>
            </w:tcBorders>
          </w:tcPr>
          <w:p>
            <w:pPr>
              <w:spacing w:after="0"/>
              <w:rPr>
                <w:sz w:val="19"/>
                <w:szCs w:val="19"/>
                <w:color w:val="auto"/>
              </w:rPr>
            </w:pPr>
          </w:p>
        </w:tc>
        <w:tc>
          <w:tcPr>
            <w:tcW w:w="4360" w:type="dxa"/>
            <w:vAlign w:val="bottom"/>
            <w:tcBorders>
              <w:bottom w:val="single" w:sz="8" w:color="auto"/>
            </w:tcBorders>
            <w:gridSpan w:val="5"/>
          </w:tcPr>
          <w:p>
            <w:pPr>
              <w:spacing w:after="0"/>
              <w:rPr>
                <w:sz w:val="20"/>
                <w:szCs w:val="20"/>
                <w:color w:val="auto"/>
              </w:rPr>
            </w:pPr>
            <w:r>
              <w:rPr>
                <w:rFonts w:ascii="Arial" w:cs="Arial" w:eastAsia="Arial" w:hAnsi="Arial"/>
                <w:sz w:val="16"/>
                <w:szCs w:val="16"/>
                <w:color w:val="auto"/>
              </w:rPr>
              <w:t>with 2020 sales of $15 million AUD ($10 million USD).</w:t>
            </w:r>
          </w:p>
        </w:tc>
        <w:tc>
          <w:tcPr>
            <w:tcW w:w="94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540" w:type="dxa"/>
            <w:vAlign w:val="bottom"/>
            <w:tcBorders>
              <w:left w:val="single" w:sz="8" w:color="auto"/>
              <w:right w:val="single" w:sz="8" w:color="auto"/>
            </w:tcBorders>
            <w:shd w:val="clear" w:color="auto" w:fill="CCEBFF"/>
          </w:tcPr>
          <w:p>
            <w:pPr>
              <w:spacing w:after="0"/>
              <w:rPr>
                <w:sz w:val="16"/>
                <w:szCs w:val="16"/>
                <w:color w:val="auto"/>
              </w:rPr>
            </w:pPr>
          </w:p>
        </w:tc>
        <w:tc>
          <w:tcPr>
            <w:tcW w:w="1400" w:type="dxa"/>
            <w:vAlign w:val="bottom"/>
            <w:tcBorders>
              <w:right w:val="single" w:sz="8" w:color="auto"/>
            </w:tcBorders>
            <w:shd w:val="clear" w:color="auto" w:fill="CCEBFF"/>
          </w:tcPr>
          <w:p>
            <w:pPr>
              <w:spacing w:after="0"/>
              <w:rPr>
                <w:sz w:val="16"/>
                <w:szCs w:val="16"/>
                <w:color w:val="auto"/>
              </w:rPr>
            </w:pPr>
          </w:p>
        </w:tc>
        <w:tc>
          <w:tcPr>
            <w:tcW w:w="17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9"/>
              </w:rPr>
              <w:t>$258,770</w:t>
            </w:r>
          </w:p>
        </w:tc>
        <w:tc>
          <w:tcPr>
            <w:tcW w:w="80" w:type="dxa"/>
            <w:vAlign w:val="bottom"/>
            <w:shd w:val="clear" w:color="auto" w:fill="CCEBFF"/>
          </w:tcPr>
          <w:p>
            <w:pPr>
              <w:spacing w:after="0"/>
              <w:rPr>
                <w:sz w:val="16"/>
                <w:szCs w:val="16"/>
                <w:color w:val="auto"/>
              </w:rPr>
            </w:pPr>
          </w:p>
        </w:tc>
        <w:tc>
          <w:tcPr>
            <w:tcW w:w="980" w:type="dxa"/>
            <w:vAlign w:val="bottom"/>
            <w:tcBorders>
              <w:right w:val="single" w:sz="8" w:color="auto"/>
            </w:tcBorders>
            <w:shd w:val="clear" w:color="auto" w:fill="CCEBFF"/>
          </w:tcPr>
          <w:p>
            <w:pPr>
              <w:spacing w:after="0"/>
              <w:rPr>
                <w:sz w:val="16"/>
                <w:szCs w:val="16"/>
                <w:color w:val="auto"/>
              </w:rPr>
            </w:pPr>
          </w:p>
        </w:tc>
        <w:tc>
          <w:tcPr>
            <w:tcW w:w="140" w:type="dxa"/>
            <w:vAlign w:val="bottom"/>
            <w:shd w:val="clear" w:color="auto" w:fill="CCEBFF"/>
          </w:tcPr>
          <w:p>
            <w:pPr>
              <w:spacing w:after="0"/>
              <w:rPr>
                <w:sz w:val="16"/>
                <w:szCs w:val="16"/>
                <w:color w:val="auto"/>
              </w:rPr>
            </w:pPr>
          </w:p>
        </w:tc>
        <w:tc>
          <w:tcPr>
            <w:tcW w:w="940" w:type="dxa"/>
            <w:vAlign w:val="bottom"/>
            <w:tcBorders>
              <w:right w:val="single" w:sz="8" w:color="auto"/>
            </w:tcBorders>
            <w:shd w:val="clear" w:color="auto" w:fill="CCEBFF"/>
          </w:tcPr>
          <w:p>
            <w:pPr>
              <w:spacing w:after="0"/>
              <w:rPr>
                <w:sz w:val="16"/>
                <w:szCs w:val="16"/>
                <w:color w:val="auto"/>
              </w:rPr>
            </w:pPr>
          </w:p>
        </w:tc>
        <w:tc>
          <w:tcPr>
            <w:tcW w:w="108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140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9"/>
              </w:rPr>
              <w:t>December 28, 2020</w:t>
            </w:r>
          </w:p>
        </w:tc>
        <w:tc>
          <w:tcPr>
            <w:tcW w:w="17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1"/>
              </w:rPr>
              <w:t>cash paid for 100% stock</w:t>
            </w:r>
          </w:p>
        </w:tc>
        <w:tc>
          <w:tcPr>
            <w:tcW w:w="80" w:type="dxa"/>
            <w:vAlign w:val="bottom"/>
            <w:shd w:val="clear" w:color="auto" w:fill="CCEBFF"/>
          </w:tcPr>
          <w:p>
            <w:pPr>
              <w:jc w:val="right"/>
              <w:ind w:right="15"/>
              <w:spacing w:after="0"/>
              <w:rPr>
                <w:sz w:val="20"/>
                <w:szCs w:val="20"/>
                <w:color w:val="auto"/>
              </w:rPr>
            </w:pPr>
            <w:r>
              <w:rPr>
                <w:rFonts w:ascii="Arial" w:cs="Arial" w:eastAsia="Arial" w:hAnsi="Arial"/>
                <w:sz w:val="5"/>
                <w:szCs w:val="5"/>
                <w:color w:val="auto"/>
                <w:w w:val="70"/>
              </w:rPr>
              <w:t>$</w:t>
            </w:r>
          </w:p>
        </w:tc>
        <w:tc>
          <w:tcPr>
            <w:tcW w:w="98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82,546</w:t>
            </w:r>
          </w:p>
        </w:tc>
        <w:tc>
          <w:tcPr>
            <w:tcW w:w="140" w:type="dxa"/>
            <w:vAlign w:val="bottom"/>
            <w:shd w:val="clear" w:color="auto" w:fill="CCEB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176,224</w:t>
            </w:r>
          </w:p>
        </w:tc>
        <w:tc>
          <w:tcPr>
            <w:tcW w:w="108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6"/>
              </w:rPr>
              <w:t>Retail/Industrial</w:t>
            </w:r>
          </w:p>
        </w:tc>
        <w:tc>
          <w:tcPr>
            <w:tcW w:w="0" w:type="dxa"/>
            <w:vAlign w:val="bottom"/>
          </w:tcPr>
          <w:p>
            <w:pPr>
              <w:spacing w:after="0"/>
              <w:rPr>
                <w:sz w:val="1"/>
                <w:szCs w:val="1"/>
                <w:color w:val="auto"/>
              </w:rPr>
            </w:pPr>
          </w:p>
        </w:tc>
      </w:tr>
      <w:tr>
        <w:trPr>
          <w:trHeight w:val="209"/>
        </w:trPr>
        <w:tc>
          <w:tcPr>
            <w:tcW w:w="254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Arial" w:cs="Arial" w:eastAsia="Arial" w:hAnsi="Arial"/>
                <w:sz w:val="16"/>
                <w:szCs w:val="16"/>
                <w:color w:val="auto"/>
                <w:w w:val="92"/>
              </w:rPr>
              <w:t>PalletOne, Inc. (PalletOne)</w:t>
            </w:r>
          </w:p>
        </w:tc>
        <w:tc>
          <w:tcPr>
            <w:tcW w:w="1400" w:type="dxa"/>
            <w:vAlign w:val="bottom"/>
            <w:tcBorders>
              <w:bottom w:val="single" w:sz="8" w:color="auto"/>
              <w:right w:val="single" w:sz="8" w:color="auto"/>
            </w:tcBorders>
            <w:shd w:val="clear" w:color="auto" w:fill="CCEBFF"/>
          </w:tcPr>
          <w:p>
            <w:pPr>
              <w:spacing w:after="0"/>
              <w:rPr>
                <w:sz w:val="18"/>
                <w:szCs w:val="18"/>
                <w:color w:val="auto"/>
              </w:rPr>
            </w:pPr>
          </w:p>
        </w:tc>
        <w:tc>
          <w:tcPr>
            <w:tcW w:w="176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8"/>
              </w:rPr>
              <w:t>purchase</w:t>
            </w:r>
          </w:p>
        </w:tc>
        <w:tc>
          <w:tcPr>
            <w:tcW w:w="80" w:type="dxa"/>
            <w:vAlign w:val="bottom"/>
            <w:tcBorders>
              <w:bottom w:val="single" w:sz="8" w:color="auto"/>
            </w:tcBorders>
            <w:shd w:val="clear" w:color="auto" w:fill="CCEBFF"/>
          </w:tcPr>
          <w:p>
            <w:pPr>
              <w:spacing w:after="0"/>
              <w:rPr>
                <w:sz w:val="18"/>
                <w:szCs w:val="18"/>
                <w:color w:val="auto"/>
              </w:rPr>
            </w:pPr>
          </w:p>
        </w:tc>
        <w:tc>
          <w:tcPr>
            <w:tcW w:w="980" w:type="dxa"/>
            <w:vAlign w:val="bottom"/>
            <w:tcBorders>
              <w:bottom w:val="single" w:sz="8" w:color="auto"/>
              <w:right w:val="single" w:sz="8" w:color="auto"/>
            </w:tcBorders>
            <w:shd w:val="clear" w:color="auto" w:fill="CCEBFF"/>
          </w:tcPr>
          <w:p>
            <w:pPr>
              <w:spacing w:after="0"/>
              <w:rPr>
                <w:sz w:val="18"/>
                <w:szCs w:val="18"/>
                <w:color w:val="auto"/>
              </w:rPr>
            </w:pPr>
          </w:p>
        </w:tc>
        <w:tc>
          <w:tcPr>
            <w:tcW w:w="140" w:type="dxa"/>
            <w:vAlign w:val="bottom"/>
            <w:tcBorders>
              <w:bottom w:val="single" w:sz="8" w:color="auto"/>
            </w:tcBorders>
            <w:shd w:val="clear" w:color="auto" w:fill="CCEBFF"/>
          </w:tcPr>
          <w:p>
            <w:pPr>
              <w:spacing w:after="0"/>
              <w:rPr>
                <w:sz w:val="18"/>
                <w:szCs w:val="18"/>
                <w:color w:val="auto"/>
              </w:rPr>
            </w:pPr>
          </w:p>
        </w:tc>
        <w:tc>
          <w:tcPr>
            <w:tcW w:w="940" w:type="dxa"/>
            <w:vAlign w:val="bottom"/>
            <w:tcBorders>
              <w:bottom w:val="single" w:sz="8" w:color="auto"/>
              <w:right w:val="single" w:sz="8" w:color="auto"/>
            </w:tcBorders>
            <w:shd w:val="clear" w:color="auto" w:fill="CCEBFF"/>
          </w:tcPr>
          <w:p>
            <w:pPr>
              <w:spacing w:after="0"/>
              <w:rPr>
                <w:sz w:val="18"/>
                <w:szCs w:val="18"/>
                <w:color w:val="auto"/>
              </w:rPr>
            </w:pPr>
          </w:p>
        </w:tc>
        <w:tc>
          <w:tcPr>
            <w:tcW w:w="108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540" w:type="dxa"/>
            <w:vAlign w:val="bottom"/>
            <w:tcBorders>
              <w:left w:val="single" w:sz="8" w:color="auto"/>
              <w:right w:val="single" w:sz="8" w:color="auto"/>
            </w:tcBorders>
            <w:vMerge w:val="continue"/>
            <w:shd w:val="clear" w:color="auto" w:fill="CCEBFF"/>
          </w:tcPr>
          <w:p>
            <w:pPr>
              <w:spacing w:after="0"/>
              <w:rPr>
                <w:sz w:val="16"/>
                <w:szCs w:val="16"/>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3"/>
              </w:rPr>
              <w:t>Based in Bartow, Florida, PalletOne is a leading manufacturer of new pallets in the U.S., with 17</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4"/>
              </w:rPr>
              <w:t>pallet manufacturing facilities in the southern and eastern regions of the country. The company</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6"/>
              </w:rPr>
              <w:t>also supplies other specialized industrial packaging, including custom bins and crates, and its</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8"/>
              </w:rPr>
              <w:t>Sunbelt Forest Products (Sunbelt) subsidiary operates five pressure-treating facilities in the</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2"/>
              </w:rPr>
              <w:t>Southeastern U.S. PalletOne and its affiliates had 2019 and 2020 sales of $525 million and $698</w:t>
            </w:r>
          </w:p>
        </w:tc>
        <w:tc>
          <w:tcPr>
            <w:tcW w:w="0" w:type="dxa"/>
            <w:vAlign w:val="bottom"/>
          </w:tcPr>
          <w:p>
            <w:pPr>
              <w:spacing w:after="0"/>
              <w:rPr>
                <w:sz w:val="1"/>
                <w:szCs w:val="1"/>
                <w:color w:val="auto"/>
              </w:rPr>
            </w:pPr>
          </w:p>
        </w:tc>
      </w:tr>
      <w:tr>
        <w:trPr>
          <w:trHeight w:val="219"/>
        </w:trPr>
        <w:tc>
          <w:tcPr>
            <w:tcW w:w="254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1400" w:type="dxa"/>
            <w:vAlign w:val="bottom"/>
            <w:tcBorders>
              <w:bottom w:val="single" w:sz="8" w:color="auto"/>
              <w:right w:val="single" w:sz="8" w:color="CCEBFF"/>
            </w:tcBorders>
            <w:shd w:val="clear" w:color="auto" w:fill="CCEBFF"/>
          </w:tcPr>
          <w:p>
            <w:pPr>
              <w:spacing w:after="0"/>
              <w:rPr>
                <w:sz w:val="20"/>
                <w:szCs w:val="20"/>
                <w:color w:val="auto"/>
              </w:rPr>
            </w:pPr>
            <w:r>
              <w:rPr>
                <w:rFonts w:ascii="Arial" w:cs="Arial" w:eastAsia="Arial" w:hAnsi="Arial"/>
                <w:sz w:val="16"/>
                <w:szCs w:val="16"/>
                <w:color w:val="auto"/>
                <w:w w:val="94"/>
              </w:rPr>
              <w:t>million, respectively.</w:t>
            </w:r>
          </w:p>
        </w:tc>
        <w:tc>
          <w:tcPr>
            <w:tcW w:w="1760" w:type="dxa"/>
            <w:vAlign w:val="bottom"/>
            <w:tcBorders>
              <w:bottom w:val="single" w:sz="8" w:color="auto"/>
              <w:right w:val="single" w:sz="8" w:color="CCEBFF"/>
            </w:tcBorders>
            <w:shd w:val="clear" w:color="auto" w:fill="CCEBFF"/>
          </w:tcPr>
          <w:p>
            <w:pPr>
              <w:spacing w:after="0"/>
              <w:rPr>
                <w:sz w:val="19"/>
                <w:szCs w:val="19"/>
                <w:color w:val="auto"/>
              </w:rPr>
            </w:pPr>
          </w:p>
        </w:tc>
        <w:tc>
          <w:tcPr>
            <w:tcW w:w="80" w:type="dxa"/>
            <w:vAlign w:val="bottom"/>
            <w:tcBorders>
              <w:bottom w:val="single" w:sz="8" w:color="auto"/>
            </w:tcBorders>
            <w:shd w:val="clear" w:color="auto" w:fill="CCEBFF"/>
          </w:tcPr>
          <w:p>
            <w:pPr>
              <w:spacing w:after="0"/>
              <w:rPr>
                <w:sz w:val="19"/>
                <w:szCs w:val="19"/>
                <w:color w:val="auto"/>
              </w:rPr>
            </w:pPr>
          </w:p>
        </w:tc>
        <w:tc>
          <w:tcPr>
            <w:tcW w:w="980" w:type="dxa"/>
            <w:vAlign w:val="bottom"/>
            <w:tcBorders>
              <w:bottom w:val="single" w:sz="8" w:color="auto"/>
              <w:right w:val="single" w:sz="8" w:color="CCEBFF"/>
            </w:tcBorders>
            <w:shd w:val="clear" w:color="auto" w:fill="CCEBFF"/>
          </w:tcPr>
          <w:p>
            <w:pPr>
              <w:spacing w:after="0"/>
              <w:rPr>
                <w:sz w:val="19"/>
                <w:szCs w:val="19"/>
                <w:color w:val="auto"/>
              </w:rPr>
            </w:pPr>
          </w:p>
        </w:tc>
        <w:tc>
          <w:tcPr>
            <w:tcW w:w="140" w:type="dxa"/>
            <w:vAlign w:val="bottom"/>
            <w:tcBorders>
              <w:bottom w:val="single" w:sz="8" w:color="auto"/>
            </w:tcBorders>
            <w:shd w:val="clear" w:color="auto" w:fill="CCEBFF"/>
          </w:tcPr>
          <w:p>
            <w:pPr>
              <w:spacing w:after="0"/>
              <w:rPr>
                <w:sz w:val="19"/>
                <w:szCs w:val="19"/>
                <w:color w:val="auto"/>
              </w:rPr>
            </w:pPr>
          </w:p>
        </w:tc>
        <w:tc>
          <w:tcPr>
            <w:tcW w:w="940" w:type="dxa"/>
            <w:vAlign w:val="bottom"/>
            <w:tcBorders>
              <w:bottom w:val="single" w:sz="8" w:color="auto"/>
              <w:right w:val="single" w:sz="8" w:color="CCEBFF"/>
            </w:tcBorders>
            <w:shd w:val="clear" w:color="auto" w:fill="CCEBFF"/>
          </w:tcPr>
          <w:p>
            <w:pPr>
              <w:spacing w:after="0"/>
              <w:rPr>
                <w:sz w:val="19"/>
                <w:szCs w:val="19"/>
                <w:color w:val="auto"/>
              </w:rPr>
            </w:pPr>
          </w:p>
        </w:tc>
        <w:tc>
          <w:tcPr>
            <w:tcW w:w="108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00" w:lineRule="exact"/>
        <w:rPr>
          <w:sz w:val="20"/>
          <w:szCs w:val="20"/>
          <w:color w:val="auto"/>
        </w:rPr>
      </w:pPr>
    </w:p>
    <w:p>
      <w:pPr>
        <w:spacing w:after="0" w:line="226" w:lineRule="exact"/>
        <w:rPr>
          <w:sz w:val="20"/>
          <w:szCs w:val="20"/>
          <w:color w:val="auto"/>
        </w:rPr>
      </w:pPr>
    </w:p>
    <w:tbl>
      <w:tblPr>
        <w:tblLayout w:type="fixed"/>
        <w:tblInd w:w="50" w:type="dxa"/>
        <w:tblCellMar>
          <w:top w:w="0" w:type="dxa"/>
          <w:left w:w="0" w:type="dxa"/>
          <w:bottom w:w="0" w:type="dxa"/>
          <w:right w:w="0" w:type="dxa"/>
        </w:tblCellMar>
      </w:tblPr>
      <w:tr>
        <w:trPr>
          <w:trHeight w:val="216"/>
        </w:trPr>
        <w:tc>
          <w:tcPr>
            <w:tcW w:w="2540" w:type="dxa"/>
            <w:vAlign w:val="bottom"/>
            <w:tcBorders>
              <w:top w:val="single" w:sz="8" w:color="auto"/>
              <w:left w:val="single" w:sz="8" w:color="auto"/>
              <w:right w:val="single" w:sz="8" w:color="auto"/>
            </w:tcBorders>
          </w:tcPr>
          <w:p>
            <w:pPr>
              <w:spacing w:after="0"/>
              <w:rPr>
                <w:sz w:val="18"/>
                <w:szCs w:val="18"/>
                <w:color w:val="auto"/>
              </w:rPr>
            </w:pPr>
          </w:p>
        </w:tc>
        <w:tc>
          <w:tcPr>
            <w:tcW w:w="1400" w:type="dxa"/>
            <w:vAlign w:val="bottom"/>
            <w:tcBorders>
              <w:top w:val="single" w:sz="8" w:color="auto"/>
              <w:right w:val="single" w:sz="8" w:color="auto"/>
            </w:tcBorders>
          </w:tcPr>
          <w:p>
            <w:pPr>
              <w:spacing w:after="0"/>
              <w:rPr>
                <w:sz w:val="18"/>
                <w:szCs w:val="18"/>
                <w:color w:val="auto"/>
              </w:rPr>
            </w:pPr>
          </w:p>
        </w:tc>
        <w:tc>
          <w:tcPr>
            <w:tcW w:w="1760" w:type="dxa"/>
            <w:vAlign w:val="bottom"/>
            <w:tcBorders>
              <w:top w:val="single" w:sz="8" w:color="auto"/>
              <w:right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80" w:type="dxa"/>
            <w:vAlign w:val="bottom"/>
            <w:tcBorders>
              <w:top w:val="single" w:sz="8" w:color="auto"/>
              <w:right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right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Net</w:t>
            </w:r>
          </w:p>
        </w:tc>
        <w:tc>
          <w:tcPr>
            <w:tcW w:w="106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Company</w:t>
            </w:r>
          </w:p>
        </w:tc>
        <w:tc>
          <w:tcPr>
            <w:tcW w:w="1400" w:type="dxa"/>
            <w:vAlign w:val="bottom"/>
            <w:tcBorders>
              <w:right w:val="single" w:sz="8" w:color="auto"/>
            </w:tcBorders>
          </w:tcPr>
          <w:p>
            <w:pPr>
              <w:ind w:left="280"/>
              <w:spacing w:after="0"/>
              <w:rPr>
                <w:sz w:val="20"/>
                <w:szCs w:val="20"/>
                <w:color w:val="auto"/>
              </w:rPr>
            </w:pPr>
            <w:r>
              <w:rPr>
                <w:rFonts w:ascii="Arial" w:cs="Arial" w:eastAsia="Arial" w:hAnsi="Arial"/>
                <w:sz w:val="16"/>
                <w:szCs w:val="16"/>
                <w:b w:val="1"/>
                <w:bCs w:val="1"/>
                <w:color w:val="auto"/>
              </w:rPr>
              <w:t>Acquisition</w:t>
            </w:r>
          </w:p>
        </w:tc>
        <w:tc>
          <w:tcPr>
            <w:tcW w:w="17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7"/>
              </w:rPr>
              <w:t>Intangible</w:t>
            </w:r>
          </w:p>
        </w:tc>
        <w:tc>
          <w:tcPr>
            <w:tcW w:w="140" w:type="dxa"/>
            <w:vAlign w:val="bottom"/>
          </w:tcPr>
          <w:p>
            <w:pPr>
              <w:spacing w:after="0"/>
              <w:rPr>
                <w:sz w:val="17"/>
                <w:szCs w:val="17"/>
                <w:color w:val="auto"/>
              </w:rPr>
            </w:pPr>
          </w:p>
        </w:tc>
        <w:tc>
          <w:tcPr>
            <w:tcW w:w="960" w:type="dxa"/>
            <w:vAlign w:val="bottom"/>
            <w:tcBorders>
              <w:right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Tangible</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Operating</w:t>
            </w:r>
          </w:p>
        </w:tc>
        <w:tc>
          <w:tcPr>
            <w:tcW w:w="0" w:type="dxa"/>
            <w:vAlign w:val="bottom"/>
          </w:tcPr>
          <w:p>
            <w:pPr>
              <w:spacing w:after="0"/>
              <w:rPr>
                <w:sz w:val="1"/>
                <w:szCs w:val="1"/>
                <w:color w:val="auto"/>
              </w:rPr>
            </w:pPr>
          </w:p>
        </w:tc>
      </w:tr>
      <w:tr>
        <w:trPr>
          <w:trHeight w:val="223"/>
        </w:trPr>
        <w:tc>
          <w:tcPr>
            <w:tcW w:w="2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Name</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Date</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Purchase Price</w:t>
            </w: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Assets</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Segment</w:t>
            </w:r>
          </w:p>
        </w:tc>
        <w:tc>
          <w:tcPr>
            <w:tcW w:w="0" w:type="dxa"/>
            <w:vAlign w:val="bottom"/>
          </w:tcPr>
          <w:p>
            <w:pPr>
              <w:spacing w:after="0"/>
              <w:rPr>
                <w:sz w:val="1"/>
                <w:szCs w:val="1"/>
                <w:color w:val="auto"/>
              </w:rPr>
            </w:pPr>
          </w:p>
        </w:tc>
      </w:tr>
      <w:tr>
        <w:trPr>
          <w:trHeight w:val="193"/>
        </w:trPr>
        <w:tc>
          <w:tcPr>
            <w:tcW w:w="2540" w:type="dxa"/>
            <w:vAlign w:val="bottom"/>
            <w:tcBorders>
              <w:left w:val="single" w:sz="8" w:color="auto"/>
              <w:right w:val="single" w:sz="8" w:color="auto"/>
            </w:tcBorders>
            <w:shd w:val="clear" w:color="auto" w:fill="CCEBFF"/>
          </w:tcPr>
          <w:p>
            <w:pPr>
              <w:spacing w:after="0"/>
              <w:rPr>
                <w:sz w:val="16"/>
                <w:szCs w:val="16"/>
                <w:color w:val="auto"/>
              </w:rPr>
            </w:pPr>
          </w:p>
        </w:tc>
        <w:tc>
          <w:tcPr>
            <w:tcW w:w="1400" w:type="dxa"/>
            <w:vAlign w:val="bottom"/>
            <w:tcBorders>
              <w:right w:val="single" w:sz="8" w:color="auto"/>
            </w:tcBorders>
            <w:shd w:val="clear" w:color="auto" w:fill="CCEBFF"/>
          </w:tcPr>
          <w:p>
            <w:pPr>
              <w:spacing w:after="0"/>
              <w:rPr>
                <w:sz w:val="16"/>
                <w:szCs w:val="16"/>
                <w:color w:val="auto"/>
              </w:rPr>
            </w:pPr>
          </w:p>
        </w:tc>
        <w:tc>
          <w:tcPr>
            <w:tcW w:w="17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9"/>
              </w:rPr>
              <w:t>$27,274</w:t>
            </w:r>
          </w:p>
        </w:tc>
        <w:tc>
          <w:tcPr>
            <w:tcW w:w="80" w:type="dxa"/>
            <w:vAlign w:val="bottom"/>
            <w:shd w:val="clear" w:color="auto" w:fill="CCEBFF"/>
          </w:tcPr>
          <w:p>
            <w:pPr>
              <w:spacing w:after="0"/>
              <w:rPr>
                <w:sz w:val="16"/>
                <w:szCs w:val="16"/>
                <w:color w:val="auto"/>
              </w:rPr>
            </w:pPr>
          </w:p>
        </w:tc>
        <w:tc>
          <w:tcPr>
            <w:tcW w:w="980" w:type="dxa"/>
            <w:vAlign w:val="bottom"/>
            <w:tcBorders>
              <w:right w:val="single" w:sz="8" w:color="auto"/>
            </w:tcBorders>
            <w:shd w:val="clear" w:color="auto" w:fill="CCEBFF"/>
          </w:tcPr>
          <w:p>
            <w:pPr>
              <w:spacing w:after="0"/>
              <w:rPr>
                <w:sz w:val="16"/>
                <w:szCs w:val="16"/>
                <w:color w:val="auto"/>
              </w:rPr>
            </w:pPr>
          </w:p>
        </w:tc>
        <w:tc>
          <w:tcPr>
            <w:tcW w:w="140" w:type="dxa"/>
            <w:vAlign w:val="bottom"/>
            <w:shd w:val="clear" w:color="auto" w:fill="CCEBFF"/>
          </w:tcPr>
          <w:p>
            <w:pPr>
              <w:spacing w:after="0"/>
              <w:rPr>
                <w:sz w:val="16"/>
                <w:szCs w:val="16"/>
                <w:color w:val="auto"/>
              </w:rPr>
            </w:pPr>
          </w:p>
        </w:tc>
        <w:tc>
          <w:tcPr>
            <w:tcW w:w="960" w:type="dxa"/>
            <w:vAlign w:val="bottom"/>
            <w:tcBorders>
              <w:right w:val="single" w:sz="8" w:color="auto"/>
            </w:tcBorders>
            <w:shd w:val="clear" w:color="auto" w:fill="CCEBFF"/>
          </w:tcPr>
          <w:p>
            <w:pPr>
              <w:spacing w:after="0"/>
              <w:rPr>
                <w:sz w:val="16"/>
                <w:szCs w:val="16"/>
                <w:color w:val="auto"/>
              </w:rPr>
            </w:pPr>
          </w:p>
        </w:tc>
        <w:tc>
          <w:tcPr>
            <w:tcW w:w="106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540" w:type="dxa"/>
            <w:vAlign w:val="bottom"/>
            <w:tcBorders>
              <w:left w:val="single" w:sz="8" w:color="auto"/>
              <w:right w:val="single" w:sz="8" w:color="auto"/>
            </w:tcBorders>
            <w:shd w:val="clear" w:color="auto" w:fill="CCEBFF"/>
          </w:tcPr>
          <w:p>
            <w:pPr>
              <w:spacing w:after="0"/>
              <w:rPr>
                <w:sz w:val="21"/>
                <w:szCs w:val="21"/>
                <w:color w:val="auto"/>
              </w:rPr>
            </w:pPr>
          </w:p>
        </w:tc>
        <w:tc>
          <w:tcPr>
            <w:tcW w:w="140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2"/>
              </w:rPr>
              <w:t>November 10, 2020</w:t>
            </w:r>
          </w:p>
        </w:tc>
        <w:tc>
          <w:tcPr>
            <w:tcW w:w="17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9"/>
              </w:rPr>
              <w:t>cash paid for 100% asset</w:t>
            </w:r>
          </w:p>
        </w:tc>
        <w:tc>
          <w:tcPr>
            <w:tcW w:w="80" w:type="dxa"/>
            <w:vAlign w:val="bottom"/>
            <w:shd w:val="clear" w:color="auto" w:fill="CCEBFF"/>
          </w:tcPr>
          <w:p>
            <w:pPr>
              <w:jc w:val="right"/>
              <w:ind w:right="15"/>
              <w:spacing w:after="0"/>
              <w:rPr>
                <w:sz w:val="20"/>
                <w:szCs w:val="20"/>
                <w:color w:val="auto"/>
              </w:rPr>
            </w:pPr>
            <w:r>
              <w:rPr>
                <w:rFonts w:ascii="Arial" w:cs="Arial" w:eastAsia="Arial" w:hAnsi="Arial"/>
                <w:sz w:val="5"/>
                <w:szCs w:val="5"/>
                <w:color w:val="auto"/>
                <w:w w:val="70"/>
              </w:rPr>
              <w:t>$</w:t>
            </w:r>
          </w:p>
        </w:tc>
        <w:tc>
          <w:tcPr>
            <w:tcW w:w="98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17,894</w:t>
            </w:r>
          </w:p>
        </w:tc>
        <w:tc>
          <w:tcPr>
            <w:tcW w:w="140" w:type="dxa"/>
            <w:vAlign w:val="bottom"/>
            <w:shd w:val="clear" w:color="auto" w:fill="CCEB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9,380</w:t>
            </w:r>
          </w:p>
        </w:tc>
        <w:tc>
          <w:tcPr>
            <w:tcW w:w="10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3"/>
              </w:rPr>
              <w:t>Construction</w:t>
            </w:r>
          </w:p>
        </w:tc>
        <w:tc>
          <w:tcPr>
            <w:tcW w:w="0" w:type="dxa"/>
            <w:vAlign w:val="bottom"/>
          </w:tcPr>
          <w:p>
            <w:pPr>
              <w:spacing w:after="0"/>
              <w:rPr>
                <w:sz w:val="1"/>
                <w:szCs w:val="1"/>
                <w:color w:val="auto"/>
              </w:rPr>
            </w:pPr>
          </w:p>
        </w:tc>
      </w:tr>
      <w:tr>
        <w:trPr>
          <w:trHeight w:val="152"/>
        </w:trPr>
        <w:tc>
          <w:tcPr>
            <w:tcW w:w="2540" w:type="dxa"/>
            <w:vAlign w:val="bottom"/>
            <w:tcBorders>
              <w:left w:val="single" w:sz="8" w:color="auto"/>
              <w:right w:val="single" w:sz="8" w:color="auto"/>
            </w:tcBorders>
            <w:shd w:val="clear" w:color="auto" w:fill="CCEBFF"/>
          </w:tcPr>
          <w:p>
            <w:pPr>
              <w:spacing w:after="0"/>
              <w:rPr>
                <w:sz w:val="13"/>
                <w:szCs w:val="13"/>
                <w:color w:val="auto"/>
              </w:rPr>
            </w:pPr>
          </w:p>
        </w:tc>
        <w:tc>
          <w:tcPr>
            <w:tcW w:w="1400" w:type="dxa"/>
            <w:vAlign w:val="bottom"/>
            <w:tcBorders>
              <w:right w:val="single" w:sz="8" w:color="auto"/>
            </w:tcBorders>
            <w:shd w:val="clear" w:color="auto" w:fill="CCEBFF"/>
          </w:tcPr>
          <w:p>
            <w:pPr>
              <w:spacing w:after="0"/>
              <w:rPr>
                <w:sz w:val="13"/>
                <w:szCs w:val="13"/>
                <w:color w:val="auto"/>
              </w:rPr>
            </w:pPr>
          </w:p>
        </w:tc>
        <w:tc>
          <w:tcPr>
            <w:tcW w:w="1760" w:type="dxa"/>
            <w:vAlign w:val="bottom"/>
            <w:tcBorders>
              <w:right w:val="single" w:sz="8" w:color="auto"/>
            </w:tcBorders>
            <w:shd w:val="clear" w:color="auto" w:fill="CCEBFF"/>
          </w:tcPr>
          <w:p>
            <w:pPr>
              <w:jc w:val="center"/>
              <w:spacing w:after="0" w:line="152" w:lineRule="exact"/>
              <w:rPr>
                <w:sz w:val="20"/>
                <w:szCs w:val="20"/>
                <w:color w:val="auto"/>
              </w:rPr>
            </w:pPr>
            <w:r>
              <w:rPr>
                <w:rFonts w:ascii="Arial" w:cs="Arial" w:eastAsia="Arial" w:hAnsi="Arial"/>
                <w:sz w:val="16"/>
                <w:szCs w:val="16"/>
                <w:color w:val="auto"/>
                <w:w w:val="88"/>
              </w:rPr>
              <w:t>purchase and estimated</w:t>
            </w:r>
          </w:p>
        </w:tc>
        <w:tc>
          <w:tcPr>
            <w:tcW w:w="80" w:type="dxa"/>
            <w:vAlign w:val="bottom"/>
            <w:shd w:val="clear" w:color="auto" w:fill="CCEBFF"/>
          </w:tcPr>
          <w:p>
            <w:pPr>
              <w:spacing w:after="0"/>
              <w:rPr>
                <w:sz w:val="13"/>
                <w:szCs w:val="13"/>
                <w:color w:val="auto"/>
              </w:rPr>
            </w:pPr>
          </w:p>
        </w:tc>
        <w:tc>
          <w:tcPr>
            <w:tcW w:w="980" w:type="dxa"/>
            <w:vAlign w:val="bottom"/>
            <w:tcBorders>
              <w:right w:val="single" w:sz="8" w:color="auto"/>
            </w:tcBorders>
            <w:shd w:val="clear" w:color="auto" w:fill="CCEBFF"/>
          </w:tcPr>
          <w:p>
            <w:pPr>
              <w:spacing w:after="0"/>
              <w:rPr>
                <w:sz w:val="13"/>
                <w:szCs w:val="13"/>
                <w:color w:val="auto"/>
              </w:rPr>
            </w:pPr>
          </w:p>
        </w:tc>
        <w:tc>
          <w:tcPr>
            <w:tcW w:w="140" w:type="dxa"/>
            <w:vAlign w:val="bottom"/>
            <w:shd w:val="clear" w:color="auto" w:fill="CCEBFF"/>
          </w:tcPr>
          <w:p>
            <w:pPr>
              <w:spacing w:after="0"/>
              <w:rPr>
                <w:sz w:val="13"/>
                <w:szCs w:val="13"/>
                <w:color w:val="auto"/>
              </w:rPr>
            </w:pPr>
          </w:p>
        </w:tc>
        <w:tc>
          <w:tcPr>
            <w:tcW w:w="960" w:type="dxa"/>
            <w:vAlign w:val="bottom"/>
            <w:tcBorders>
              <w:right w:val="single" w:sz="8" w:color="auto"/>
            </w:tcBorders>
            <w:shd w:val="clear" w:color="auto" w:fill="CCEBFF"/>
          </w:tcPr>
          <w:p>
            <w:pPr>
              <w:spacing w:after="0"/>
              <w:rPr>
                <w:sz w:val="13"/>
                <w:szCs w:val="13"/>
                <w:color w:val="auto"/>
              </w:rPr>
            </w:pPr>
          </w:p>
        </w:tc>
        <w:tc>
          <w:tcPr>
            <w:tcW w:w="1060" w:type="dxa"/>
            <w:vAlign w:val="bottom"/>
            <w:tcBorders>
              <w:right w:val="single" w:sz="8" w:color="auto"/>
            </w:tcBorders>
            <w:shd w:val="clear" w:color="auto" w:fill="CCEBFF"/>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54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Arial" w:cs="Arial" w:eastAsia="Arial" w:hAnsi="Arial"/>
                <w:sz w:val="16"/>
                <w:szCs w:val="16"/>
                <w:color w:val="auto"/>
                <w:w w:val="95"/>
              </w:rPr>
              <w:t>Atlantic Prefab, Inc.; Exterior</w:t>
            </w:r>
          </w:p>
        </w:tc>
        <w:tc>
          <w:tcPr>
            <w:tcW w:w="1400" w:type="dxa"/>
            <w:vAlign w:val="bottom"/>
            <w:tcBorders>
              <w:bottom w:val="single" w:sz="8" w:color="auto"/>
              <w:right w:val="single" w:sz="8" w:color="auto"/>
            </w:tcBorders>
            <w:shd w:val="clear" w:color="auto" w:fill="CCEBFF"/>
          </w:tcPr>
          <w:p>
            <w:pPr>
              <w:spacing w:after="0"/>
              <w:rPr>
                <w:sz w:val="18"/>
                <w:szCs w:val="18"/>
                <w:color w:val="auto"/>
              </w:rPr>
            </w:pPr>
          </w:p>
        </w:tc>
        <w:tc>
          <w:tcPr>
            <w:tcW w:w="176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2"/>
              </w:rPr>
              <w:t>contingent consideration</w:t>
            </w:r>
          </w:p>
        </w:tc>
        <w:tc>
          <w:tcPr>
            <w:tcW w:w="80" w:type="dxa"/>
            <w:vAlign w:val="bottom"/>
            <w:tcBorders>
              <w:bottom w:val="single" w:sz="8" w:color="auto"/>
            </w:tcBorders>
            <w:shd w:val="clear" w:color="auto" w:fill="CCEBFF"/>
          </w:tcPr>
          <w:p>
            <w:pPr>
              <w:spacing w:after="0"/>
              <w:rPr>
                <w:sz w:val="18"/>
                <w:szCs w:val="18"/>
                <w:color w:val="auto"/>
              </w:rPr>
            </w:pPr>
          </w:p>
        </w:tc>
        <w:tc>
          <w:tcPr>
            <w:tcW w:w="980" w:type="dxa"/>
            <w:vAlign w:val="bottom"/>
            <w:tcBorders>
              <w:bottom w:val="single" w:sz="8" w:color="auto"/>
              <w:right w:val="single" w:sz="8" w:color="auto"/>
            </w:tcBorders>
            <w:shd w:val="clear" w:color="auto" w:fill="CCEBFF"/>
          </w:tcPr>
          <w:p>
            <w:pPr>
              <w:spacing w:after="0"/>
              <w:rPr>
                <w:sz w:val="18"/>
                <w:szCs w:val="18"/>
                <w:color w:val="auto"/>
              </w:rPr>
            </w:pPr>
          </w:p>
        </w:tc>
        <w:tc>
          <w:tcPr>
            <w:tcW w:w="140" w:type="dxa"/>
            <w:vAlign w:val="bottom"/>
            <w:tcBorders>
              <w:bottom w:val="single" w:sz="8" w:color="auto"/>
            </w:tcBorders>
            <w:shd w:val="clear" w:color="auto" w:fill="CCEBFF"/>
          </w:tcPr>
          <w:p>
            <w:pPr>
              <w:spacing w:after="0"/>
              <w:rPr>
                <w:sz w:val="18"/>
                <w:szCs w:val="18"/>
                <w:color w:val="auto"/>
              </w:rPr>
            </w:pPr>
          </w:p>
        </w:tc>
        <w:tc>
          <w:tcPr>
            <w:tcW w:w="960" w:type="dxa"/>
            <w:vAlign w:val="bottom"/>
            <w:tcBorders>
              <w:bottom w:val="single" w:sz="8" w:color="auto"/>
              <w:right w:val="single" w:sz="8" w:color="auto"/>
            </w:tcBorders>
            <w:shd w:val="clear" w:color="auto" w:fill="CCEBFF"/>
          </w:tcPr>
          <w:p>
            <w:pPr>
              <w:spacing w:after="0"/>
              <w:rPr>
                <w:sz w:val="18"/>
                <w:szCs w:val="18"/>
                <w:color w:val="auto"/>
              </w:rPr>
            </w:pPr>
          </w:p>
        </w:tc>
        <w:tc>
          <w:tcPr>
            <w:tcW w:w="106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540" w:type="dxa"/>
            <w:vAlign w:val="bottom"/>
            <w:tcBorders>
              <w:left w:val="single" w:sz="8" w:color="auto"/>
              <w:right w:val="single" w:sz="8" w:color="auto"/>
            </w:tcBorders>
            <w:vMerge w:val="continue"/>
            <w:shd w:val="clear" w:color="auto" w:fill="CCEBFF"/>
          </w:tcPr>
          <w:p>
            <w:pPr>
              <w:spacing w:after="0"/>
              <w:rPr>
                <w:sz w:val="15"/>
                <w:szCs w:val="15"/>
                <w:color w:val="auto"/>
              </w:rPr>
            </w:pPr>
          </w:p>
        </w:tc>
        <w:tc>
          <w:tcPr>
            <w:tcW w:w="6380" w:type="dxa"/>
            <w:vAlign w:val="bottom"/>
            <w:tcBorders>
              <w:right w:val="single" w:sz="8" w:color="auto"/>
            </w:tcBorders>
            <w:gridSpan w:val="7"/>
            <w:shd w:val="clear" w:color="auto" w:fill="CCEBFF"/>
          </w:tcPr>
          <w:p>
            <w:pPr>
              <w:spacing w:after="0" w:line="176" w:lineRule="exact"/>
              <w:rPr>
                <w:sz w:val="20"/>
                <w:szCs w:val="20"/>
                <w:color w:val="auto"/>
              </w:rPr>
            </w:pPr>
            <w:r>
              <w:rPr>
                <w:rFonts w:ascii="Arial" w:cs="Arial" w:eastAsia="Arial" w:hAnsi="Arial"/>
                <w:sz w:val="16"/>
                <w:szCs w:val="16"/>
                <w:color w:val="auto"/>
                <w:w w:val="94"/>
              </w:rPr>
              <w:t>Based in Wilton, New Hampshire, Atlantic Prefab produces prefabricated steel wall panels and</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4"/>
              </w:rPr>
              <w:t>Designs, LLC; and Patriot Building</w:t>
            </w: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4"/>
              </w:rPr>
              <w:t>light gauge metal trusses. The company’s steel component and prefinished wall panel lines are</w:t>
            </w:r>
          </w:p>
        </w:tc>
        <w:tc>
          <w:tcPr>
            <w:tcW w:w="0" w:type="dxa"/>
            <w:vAlign w:val="bottom"/>
          </w:tcPr>
          <w:p>
            <w:pPr>
              <w:spacing w:after="0"/>
              <w:rPr>
                <w:sz w:val="1"/>
                <w:szCs w:val="1"/>
                <w:color w:val="auto"/>
              </w:rPr>
            </w:pPr>
          </w:p>
        </w:tc>
      </w:tr>
      <w:tr>
        <w:trPr>
          <w:trHeight w:val="216"/>
        </w:trPr>
        <w:tc>
          <w:tcPr>
            <w:tcW w:w="2540" w:type="dxa"/>
            <w:vAlign w:val="bottom"/>
            <w:tcBorders>
              <w:left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4"/>
              </w:rPr>
              <w:t>Systems, LLC</w:t>
            </w: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6"/>
              </w:rPr>
              <w:t>new, value-added product additions for UFP Construction that help shorten project timelines.</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3"/>
              </w:rPr>
              <w:t>Exterior Designs is a leading installer of siding and exterior cladding such as fiber cement, ACM</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4"/>
              </w:rPr>
              <w:t>(aluminum composite material) panels, phenolic panels, and EIFS (exterior insulation and finish</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4"/>
              </w:rPr>
              <w:t>systems). The company is based in Londonderry, New Hampshire, and serves commercial and</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rPr>
              <w:t>multi-family clients throughout the Northeast. Also based in Londonderry, Patriot Building</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4"/>
              </w:rPr>
              <w:t>Systems provides commercial and multi-family framing services in the Northeast and will focus</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3"/>
              </w:rPr>
              <w:t>on markets not currently served by companies of UFP Industries. The companies had combined</w:t>
            </w:r>
          </w:p>
        </w:tc>
        <w:tc>
          <w:tcPr>
            <w:tcW w:w="0" w:type="dxa"/>
            <w:vAlign w:val="bottom"/>
          </w:tcPr>
          <w:p>
            <w:pPr>
              <w:spacing w:after="0"/>
              <w:rPr>
                <w:sz w:val="1"/>
                <w:szCs w:val="1"/>
                <w:color w:val="auto"/>
              </w:rPr>
            </w:pPr>
          </w:p>
        </w:tc>
      </w:tr>
      <w:tr>
        <w:trPr>
          <w:trHeight w:val="219"/>
        </w:trPr>
        <w:tc>
          <w:tcPr>
            <w:tcW w:w="254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3240" w:type="dxa"/>
            <w:vAlign w:val="bottom"/>
            <w:tcBorders>
              <w:bottom w:val="single" w:sz="8" w:color="auto"/>
            </w:tcBorders>
            <w:gridSpan w:val="3"/>
            <w:shd w:val="clear" w:color="auto" w:fill="CCEBFF"/>
          </w:tcPr>
          <w:p>
            <w:pPr>
              <w:spacing w:after="0"/>
              <w:rPr>
                <w:sz w:val="20"/>
                <w:szCs w:val="20"/>
                <w:color w:val="auto"/>
              </w:rPr>
            </w:pPr>
            <w:r>
              <w:rPr>
                <w:rFonts w:ascii="Arial" w:cs="Arial" w:eastAsia="Arial" w:hAnsi="Arial"/>
                <w:sz w:val="16"/>
                <w:szCs w:val="16"/>
                <w:color w:val="auto"/>
              </w:rPr>
              <w:t>annual sales of approximately $28 million.</w:t>
            </w:r>
          </w:p>
        </w:tc>
        <w:tc>
          <w:tcPr>
            <w:tcW w:w="980" w:type="dxa"/>
            <w:vAlign w:val="bottom"/>
            <w:tcBorders>
              <w:bottom w:val="single" w:sz="8" w:color="auto"/>
              <w:right w:val="single" w:sz="8" w:color="CCEBFF"/>
            </w:tcBorders>
            <w:shd w:val="clear" w:color="auto" w:fill="CCEBFF"/>
          </w:tcPr>
          <w:p>
            <w:pPr>
              <w:spacing w:after="0"/>
              <w:rPr>
                <w:sz w:val="19"/>
                <w:szCs w:val="19"/>
                <w:color w:val="auto"/>
              </w:rPr>
            </w:pPr>
          </w:p>
        </w:tc>
        <w:tc>
          <w:tcPr>
            <w:tcW w:w="140" w:type="dxa"/>
            <w:vAlign w:val="bottom"/>
            <w:tcBorders>
              <w:bottom w:val="single" w:sz="8" w:color="auto"/>
            </w:tcBorders>
            <w:shd w:val="clear" w:color="auto" w:fill="CCEBFF"/>
          </w:tcPr>
          <w:p>
            <w:pPr>
              <w:spacing w:after="0"/>
              <w:rPr>
                <w:sz w:val="19"/>
                <w:szCs w:val="19"/>
                <w:color w:val="auto"/>
              </w:rPr>
            </w:pPr>
          </w:p>
        </w:tc>
        <w:tc>
          <w:tcPr>
            <w:tcW w:w="960" w:type="dxa"/>
            <w:vAlign w:val="bottom"/>
            <w:tcBorders>
              <w:bottom w:val="single" w:sz="8" w:color="auto"/>
              <w:right w:val="single" w:sz="8" w:color="CCEBFF"/>
            </w:tcBorders>
            <w:shd w:val="clear" w:color="auto" w:fill="CCEBFF"/>
          </w:tcPr>
          <w:p>
            <w:pPr>
              <w:spacing w:after="0"/>
              <w:rPr>
                <w:sz w:val="19"/>
                <w:szCs w:val="19"/>
                <w:color w:val="auto"/>
              </w:rPr>
            </w:pPr>
          </w:p>
        </w:tc>
        <w:tc>
          <w:tcPr>
            <w:tcW w:w="106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540" w:type="dxa"/>
            <w:vAlign w:val="bottom"/>
            <w:tcBorders>
              <w:left w:val="single" w:sz="8" w:color="auto"/>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$7,936</w:t>
            </w:r>
          </w:p>
        </w:tc>
        <w:tc>
          <w:tcPr>
            <w:tcW w:w="8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540" w:type="dxa"/>
            <w:vAlign w:val="bottom"/>
            <w:tcBorders>
              <w:left w:val="single" w:sz="8" w:color="auto"/>
              <w:right w:val="single" w:sz="8" w:color="auto"/>
            </w:tcBorders>
          </w:tcPr>
          <w:p>
            <w:pPr>
              <w:spacing w:after="0"/>
              <w:rPr>
                <w:sz w:val="21"/>
                <w:szCs w:val="21"/>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October 1, 2020</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cash paid for 100% asset</w:t>
            </w:r>
          </w:p>
        </w:tc>
        <w:tc>
          <w:tcPr>
            <w:tcW w:w="80" w:type="dxa"/>
            <w:vAlign w:val="bottom"/>
          </w:tcPr>
          <w:p>
            <w:pPr>
              <w:jc w:val="right"/>
              <w:ind w:right="15"/>
              <w:spacing w:after="0"/>
              <w:rPr>
                <w:sz w:val="20"/>
                <w:szCs w:val="20"/>
                <w:color w:val="auto"/>
              </w:rPr>
            </w:pPr>
            <w:r>
              <w:rPr>
                <w:rFonts w:ascii="Arial" w:cs="Arial" w:eastAsia="Arial" w:hAnsi="Arial"/>
                <w:sz w:val="5"/>
                <w:szCs w:val="5"/>
                <w:color w:val="auto"/>
                <w:w w:val="70"/>
              </w:rPr>
              <w:t>$</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7,222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714</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Retail</w:t>
            </w:r>
          </w:p>
        </w:tc>
        <w:tc>
          <w:tcPr>
            <w:tcW w:w="0" w:type="dxa"/>
            <w:vAlign w:val="bottom"/>
          </w:tcPr>
          <w:p>
            <w:pPr>
              <w:spacing w:after="0"/>
              <w:rPr>
                <w:sz w:val="1"/>
                <w:szCs w:val="1"/>
                <w:color w:val="auto"/>
              </w:rPr>
            </w:pPr>
          </w:p>
        </w:tc>
      </w:tr>
      <w:tr>
        <w:trPr>
          <w:trHeight w:val="152"/>
        </w:trPr>
        <w:tc>
          <w:tcPr>
            <w:tcW w:w="2540" w:type="dxa"/>
            <w:vAlign w:val="bottom"/>
            <w:tcBorders>
              <w:left w:val="single" w:sz="8" w:color="auto"/>
              <w:right w:val="single" w:sz="8" w:color="auto"/>
            </w:tcBorders>
          </w:tcPr>
          <w:p>
            <w:pPr>
              <w:spacing w:after="0"/>
              <w:rPr>
                <w:sz w:val="13"/>
                <w:szCs w:val="13"/>
                <w:color w:val="auto"/>
              </w:rPr>
            </w:pPr>
          </w:p>
        </w:tc>
        <w:tc>
          <w:tcPr>
            <w:tcW w:w="1400" w:type="dxa"/>
            <w:vAlign w:val="bottom"/>
            <w:tcBorders>
              <w:right w:val="single" w:sz="8" w:color="auto"/>
            </w:tcBorders>
          </w:tcPr>
          <w:p>
            <w:pPr>
              <w:spacing w:after="0"/>
              <w:rPr>
                <w:sz w:val="13"/>
                <w:szCs w:val="13"/>
                <w:color w:val="auto"/>
              </w:rPr>
            </w:pPr>
          </w:p>
        </w:tc>
        <w:tc>
          <w:tcPr>
            <w:tcW w:w="1760" w:type="dxa"/>
            <w:vAlign w:val="bottom"/>
            <w:tcBorders>
              <w:right w:val="single" w:sz="8" w:color="auto"/>
            </w:tcBorders>
          </w:tcPr>
          <w:p>
            <w:pPr>
              <w:jc w:val="center"/>
              <w:spacing w:after="0" w:line="152" w:lineRule="exact"/>
              <w:rPr>
                <w:sz w:val="20"/>
                <w:szCs w:val="20"/>
                <w:color w:val="auto"/>
              </w:rPr>
            </w:pPr>
            <w:r>
              <w:rPr>
                <w:rFonts w:ascii="Arial" w:cs="Arial" w:eastAsia="Arial" w:hAnsi="Arial"/>
                <w:sz w:val="16"/>
                <w:szCs w:val="16"/>
                <w:color w:val="auto"/>
                <w:w w:val="88"/>
              </w:rPr>
              <w:t>purchase and estimated</w:t>
            </w:r>
          </w:p>
        </w:tc>
        <w:tc>
          <w:tcPr>
            <w:tcW w:w="8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Fire Retardant Chemical</w:t>
            </w:r>
          </w:p>
        </w:tc>
        <w:tc>
          <w:tcPr>
            <w:tcW w:w="140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contingent consideration</w:t>
            </w: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540" w:type="dxa"/>
            <w:vAlign w:val="bottom"/>
            <w:tcBorders>
              <w:left w:val="single" w:sz="8" w:color="auto"/>
              <w:right w:val="single" w:sz="8" w:color="auto"/>
            </w:tcBorders>
            <w:vMerge w:val="continue"/>
          </w:tcPr>
          <w:p>
            <w:pPr>
              <w:spacing w:after="0"/>
              <w:rPr>
                <w:sz w:val="15"/>
                <w:szCs w:val="15"/>
                <w:color w:val="auto"/>
              </w:rPr>
            </w:pPr>
          </w:p>
        </w:tc>
        <w:tc>
          <w:tcPr>
            <w:tcW w:w="6380" w:type="dxa"/>
            <w:vAlign w:val="bottom"/>
            <w:tcBorders>
              <w:right w:val="single" w:sz="8" w:color="auto"/>
            </w:tcBorders>
            <w:gridSpan w:val="7"/>
          </w:tcPr>
          <w:p>
            <w:pPr>
              <w:spacing w:after="0" w:line="176" w:lineRule="exact"/>
              <w:rPr>
                <w:sz w:val="20"/>
                <w:szCs w:val="20"/>
                <w:color w:val="auto"/>
              </w:rPr>
            </w:pPr>
            <w:r>
              <w:rPr>
                <w:rFonts w:ascii="Arial" w:cs="Arial" w:eastAsia="Arial" w:hAnsi="Arial"/>
                <w:sz w:val="16"/>
                <w:szCs w:val="16"/>
                <w:color w:val="auto"/>
                <w:w w:val="93"/>
              </w:rPr>
              <w:t>Founded in 2014 and based in Matthews, North Carolina, FRCT’s business includes a research</w:t>
            </w:r>
          </w:p>
        </w:tc>
        <w:tc>
          <w:tcPr>
            <w:tcW w:w="0" w:type="dxa"/>
            <w:vAlign w:val="bottom"/>
          </w:tcPr>
          <w:p>
            <w:pPr>
              <w:spacing w:after="0"/>
              <w:rPr>
                <w:sz w:val="1"/>
                <w:szCs w:val="1"/>
                <w:color w:val="auto"/>
              </w:rPr>
            </w:pPr>
          </w:p>
        </w:tc>
      </w:tr>
      <w:tr>
        <w:trPr>
          <w:trHeight w:val="216"/>
        </w:trPr>
        <w:tc>
          <w:tcPr>
            <w:tcW w:w="2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Technologies, LLC (FRCT)</w:t>
            </w:r>
          </w:p>
        </w:tc>
        <w:tc>
          <w:tcPr>
            <w:tcW w:w="638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rPr>
              <w:t>and development laboratory specializing in developing and testing a wide range of high-</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3"/>
              </w:rPr>
              <w:t>performance chemicals, including fire retardants and water repellants. The company had annual</w:t>
            </w:r>
          </w:p>
        </w:tc>
        <w:tc>
          <w:tcPr>
            <w:tcW w:w="0" w:type="dxa"/>
            <w:vAlign w:val="bottom"/>
          </w:tcPr>
          <w:p>
            <w:pPr>
              <w:spacing w:after="0"/>
              <w:rPr>
                <w:sz w:val="1"/>
                <w:szCs w:val="1"/>
                <w:color w:val="auto"/>
              </w:rPr>
            </w:pPr>
          </w:p>
        </w:tc>
      </w:tr>
      <w:tr>
        <w:trPr>
          <w:trHeight w:val="219"/>
        </w:trPr>
        <w:tc>
          <w:tcPr>
            <w:tcW w:w="2540" w:type="dxa"/>
            <w:vAlign w:val="bottom"/>
            <w:tcBorders>
              <w:left w:val="single" w:sz="8" w:color="auto"/>
              <w:bottom w:val="single" w:sz="8" w:color="auto"/>
              <w:right w:val="single" w:sz="8" w:color="auto"/>
            </w:tcBorders>
          </w:tcPr>
          <w:p>
            <w:pPr>
              <w:spacing w:after="0"/>
              <w:rPr>
                <w:sz w:val="19"/>
                <w:szCs w:val="19"/>
                <w:color w:val="auto"/>
              </w:rPr>
            </w:pPr>
          </w:p>
        </w:tc>
        <w:tc>
          <w:tcPr>
            <w:tcW w:w="324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sales of approximately $6.4 million.</w:t>
            </w:r>
          </w:p>
        </w:tc>
        <w:tc>
          <w:tcPr>
            <w:tcW w:w="9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540" w:type="dxa"/>
            <w:vAlign w:val="bottom"/>
            <w:tcBorders>
              <w:left w:val="single" w:sz="8" w:color="auto"/>
              <w:right w:val="single" w:sz="8" w:color="auto"/>
            </w:tcBorders>
            <w:shd w:val="clear" w:color="auto" w:fill="CCEBFF"/>
          </w:tcPr>
          <w:p>
            <w:pPr>
              <w:spacing w:after="0"/>
              <w:rPr>
                <w:sz w:val="16"/>
                <w:szCs w:val="16"/>
                <w:color w:val="auto"/>
              </w:rPr>
            </w:pPr>
          </w:p>
        </w:tc>
        <w:tc>
          <w:tcPr>
            <w:tcW w:w="1400" w:type="dxa"/>
            <w:vAlign w:val="bottom"/>
            <w:tcBorders>
              <w:right w:val="single" w:sz="8" w:color="auto"/>
            </w:tcBorders>
            <w:shd w:val="clear" w:color="auto" w:fill="CCEBFF"/>
          </w:tcPr>
          <w:p>
            <w:pPr>
              <w:spacing w:after="0"/>
              <w:rPr>
                <w:sz w:val="16"/>
                <w:szCs w:val="16"/>
                <w:color w:val="auto"/>
              </w:rPr>
            </w:pPr>
          </w:p>
        </w:tc>
        <w:tc>
          <w:tcPr>
            <w:tcW w:w="17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9"/>
              </w:rPr>
              <w:t>$4,465</w:t>
            </w:r>
          </w:p>
        </w:tc>
        <w:tc>
          <w:tcPr>
            <w:tcW w:w="80" w:type="dxa"/>
            <w:vAlign w:val="bottom"/>
            <w:shd w:val="clear" w:color="auto" w:fill="CCEBFF"/>
          </w:tcPr>
          <w:p>
            <w:pPr>
              <w:spacing w:after="0"/>
              <w:rPr>
                <w:sz w:val="16"/>
                <w:szCs w:val="16"/>
                <w:color w:val="auto"/>
              </w:rPr>
            </w:pPr>
          </w:p>
        </w:tc>
        <w:tc>
          <w:tcPr>
            <w:tcW w:w="980" w:type="dxa"/>
            <w:vAlign w:val="bottom"/>
            <w:tcBorders>
              <w:right w:val="single" w:sz="8" w:color="auto"/>
            </w:tcBorders>
            <w:shd w:val="clear" w:color="auto" w:fill="CCEBFF"/>
          </w:tcPr>
          <w:p>
            <w:pPr>
              <w:spacing w:after="0"/>
              <w:rPr>
                <w:sz w:val="16"/>
                <w:szCs w:val="16"/>
                <w:color w:val="auto"/>
              </w:rPr>
            </w:pPr>
          </w:p>
        </w:tc>
        <w:tc>
          <w:tcPr>
            <w:tcW w:w="140" w:type="dxa"/>
            <w:vAlign w:val="bottom"/>
            <w:shd w:val="clear" w:color="auto" w:fill="CCEBFF"/>
          </w:tcPr>
          <w:p>
            <w:pPr>
              <w:spacing w:after="0"/>
              <w:rPr>
                <w:sz w:val="16"/>
                <w:szCs w:val="16"/>
                <w:color w:val="auto"/>
              </w:rPr>
            </w:pPr>
          </w:p>
        </w:tc>
        <w:tc>
          <w:tcPr>
            <w:tcW w:w="960" w:type="dxa"/>
            <w:vAlign w:val="bottom"/>
            <w:tcBorders>
              <w:right w:val="single" w:sz="8" w:color="auto"/>
            </w:tcBorders>
            <w:shd w:val="clear" w:color="auto" w:fill="CCEBFF"/>
          </w:tcPr>
          <w:p>
            <w:pPr>
              <w:spacing w:after="0"/>
              <w:rPr>
                <w:sz w:val="16"/>
                <w:szCs w:val="16"/>
                <w:color w:val="auto"/>
              </w:rPr>
            </w:pPr>
          </w:p>
        </w:tc>
        <w:tc>
          <w:tcPr>
            <w:tcW w:w="106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540" w:type="dxa"/>
            <w:vAlign w:val="bottom"/>
            <w:tcBorders>
              <w:left w:val="single" w:sz="8" w:color="auto"/>
              <w:right w:val="single" w:sz="8" w:color="auto"/>
            </w:tcBorders>
            <w:shd w:val="clear" w:color="auto" w:fill="CCEBFF"/>
          </w:tcPr>
          <w:p>
            <w:pPr>
              <w:spacing w:after="0"/>
              <w:rPr>
                <w:sz w:val="21"/>
                <w:szCs w:val="21"/>
                <w:color w:val="auto"/>
              </w:rPr>
            </w:pPr>
          </w:p>
        </w:tc>
        <w:tc>
          <w:tcPr>
            <w:tcW w:w="140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9"/>
              </w:rPr>
              <w:t>September 30, 2020</w:t>
            </w:r>
          </w:p>
        </w:tc>
        <w:tc>
          <w:tcPr>
            <w:tcW w:w="17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1"/>
              </w:rPr>
              <w:t>cash paid for 50% stock</w:t>
            </w:r>
          </w:p>
        </w:tc>
        <w:tc>
          <w:tcPr>
            <w:tcW w:w="80" w:type="dxa"/>
            <w:vAlign w:val="bottom"/>
            <w:shd w:val="clear" w:color="auto" w:fill="CCEBFF"/>
          </w:tcPr>
          <w:p>
            <w:pPr>
              <w:jc w:val="right"/>
              <w:ind w:right="15"/>
              <w:spacing w:after="0"/>
              <w:rPr>
                <w:sz w:val="20"/>
                <w:szCs w:val="20"/>
                <w:color w:val="auto"/>
              </w:rPr>
            </w:pPr>
            <w:r>
              <w:rPr>
                <w:rFonts w:ascii="Arial" w:cs="Arial" w:eastAsia="Arial" w:hAnsi="Arial"/>
                <w:sz w:val="5"/>
                <w:szCs w:val="5"/>
                <w:color w:val="auto"/>
                <w:w w:val="70"/>
              </w:rPr>
              <w:t>$</w:t>
            </w:r>
          </w:p>
        </w:tc>
        <w:tc>
          <w:tcPr>
            <w:tcW w:w="98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4,607</w:t>
            </w:r>
          </w:p>
        </w:tc>
        <w:tc>
          <w:tcPr>
            <w:tcW w:w="140" w:type="dxa"/>
            <w:vAlign w:val="bottom"/>
            <w:shd w:val="clear" w:color="auto" w:fill="CCEB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(142)</w:t>
            </w:r>
          </w:p>
        </w:tc>
        <w:tc>
          <w:tcPr>
            <w:tcW w:w="10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4"/>
              </w:rPr>
              <w:t>Other</w:t>
            </w:r>
          </w:p>
        </w:tc>
        <w:tc>
          <w:tcPr>
            <w:tcW w:w="0" w:type="dxa"/>
            <w:vAlign w:val="bottom"/>
          </w:tcPr>
          <w:p>
            <w:pPr>
              <w:spacing w:after="0"/>
              <w:rPr>
                <w:sz w:val="1"/>
                <w:szCs w:val="1"/>
                <w:color w:val="auto"/>
              </w:rPr>
            </w:pPr>
          </w:p>
        </w:tc>
      </w:tr>
      <w:tr>
        <w:trPr>
          <w:trHeight w:val="152"/>
        </w:trPr>
        <w:tc>
          <w:tcPr>
            <w:tcW w:w="2540" w:type="dxa"/>
            <w:vAlign w:val="bottom"/>
            <w:tcBorders>
              <w:left w:val="single" w:sz="8" w:color="auto"/>
              <w:right w:val="single" w:sz="8" w:color="auto"/>
            </w:tcBorders>
            <w:shd w:val="clear" w:color="auto" w:fill="CCEBFF"/>
          </w:tcPr>
          <w:p>
            <w:pPr>
              <w:spacing w:after="0"/>
              <w:rPr>
                <w:sz w:val="13"/>
                <w:szCs w:val="13"/>
                <w:color w:val="auto"/>
              </w:rPr>
            </w:pPr>
          </w:p>
        </w:tc>
        <w:tc>
          <w:tcPr>
            <w:tcW w:w="1400" w:type="dxa"/>
            <w:vAlign w:val="bottom"/>
            <w:tcBorders>
              <w:right w:val="single" w:sz="8" w:color="auto"/>
            </w:tcBorders>
            <w:shd w:val="clear" w:color="auto" w:fill="CCEBFF"/>
          </w:tcPr>
          <w:p>
            <w:pPr>
              <w:spacing w:after="0"/>
              <w:rPr>
                <w:sz w:val="13"/>
                <w:szCs w:val="13"/>
                <w:color w:val="auto"/>
              </w:rPr>
            </w:pPr>
          </w:p>
        </w:tc>
        <w:tc>
          <w:tcPr>
            <w:tcW w:w="1760" w:type="dxa"/>
            <w:vAlign w:val="bottom"/>
            <w:tcBorders>
              <w:right w:val="single" w:sz="8" w:color="auto"/>
            </w:tcBorders>
            <w:shd w:val="clear" w:color="auto" w:fill="CCEBFF"/>
          </w:tcPr>
          <w:p>
            <w:pPr>
              <w:jc w:val="center"/>
              <w:spacing w:after="0" w:line="152" w:lineRule="exact"/>
              <w:rPr>
                <w:sz w:val="20"/>
                <w:szCs w:val="20"/>
                <w:color w:val="auto"/>
              </w:rPr>
            </w:pPr>
            <w:r>
              <w:rPr>
                <w:rFonts w:ascii="Arial" w:cs="Arial" w:eastAsia="Arial" w:hAnsi="Arial"/>
                <w:sz w:val="16"/>
                <w:szCs w:val="16"/>
                <w:color w:val="auto"/>
                <w:w w:val="88"/>
              </w:rPr>
              <w:t>purchase and estimated</w:t>
            </w:r>
          </w:p>
        </w:tc>
        <w:tc>
          <w:tcPr>
            <w:tcW w:w="80" w:type="dxa"/>
            <w:vAlign w:val="bottom"/>
            <w:shd w:val="clear" w:color="auto" w:fill="CCEBFF"/>
          </w:tcPr>
          <w:p>
            <w:pPr>
              <w:spacing w:after="0"/>
              <w:rPr>
                <w:sz w:val="13"/>
                <w:szCs w:val="13"/>
                <w:color w:val="auto"/>
              </w:rPr>
            </w:pPr>
          </w:p>
        </w:tc>
        <w:tc>
          <w:tcPr>
            <w:tcW w:w="980" w:type="dxa"/>
            <w:vAlign w:val="bottom"/>
            <w:tcBorders>
              <w:right w:val="single" w:sz="8" w:color="auto"/>
            </w:tcBorders>
            <w:shd w:val="clear" w:color="auto" w:fill="CCEBFF"/>
          </w:tcPr>
          <w:p>
            <w:pPr>
              <w:spacing w:after="0"/>
              <w:rPr>
                <w:sz w:val="13"/>
                <w:szCs w:val="13"/>
                <w:color w:val="auto"/>
              </w:rPr>
            </w:pPr>
          </w:p>
        </w:tc>
        <w:tc>
          <w:tcPr>
            <w:tcW w:w="140" w:type="dxa"/>
            <w:vAlign w:val="bottom"/>
            <w:shd w:val="clear" w:color="auto" w:fill="CCEBFF"/>
          </w:tcPr>
          <w:p>
            <w:pPr>
              <w:spacing w:after="0"/>
              <w:rPr>
                <w:sz w:val="13"/>
                <w:szCs w:val="13"/>
                <w:color w:val="auto"/>
              </w:rPr>
            </w:pPr>
          </w:p>
        </w:tc>
        <w:tc>
          <w:tcPr>
            <w:tcW w:w="960" w:type="dxa"/>
            <w:vAlign w:val="bottom"/>
            <w:tcBorders>
              <w:right w:val="single" w:sz="8" w:color="auto"/>
            </w:tcBorders>
            <w:shd w:val="clear" w:color="auto" w:fill="CCEBFF"/>
          </w:tcPr>
          <w:p>
            <w:pPr>
              <w:spacing w:after="0"/>
              <w:rPr>
                <w:sz w:val="13"/>
                <w:szCs w:val="13"/>
                <w:color w:val="auto"/>
              </w:rPr>
            </w:pPr>
          </w:p>
        </w:tc>
        <w:tc>
          <w:tcPr>
            <w:tcW w:w="1060" w:type="dxa"/>
            <w:vAlign w:val="bottom"/>
            <w:tcBorders>
              <w:right w:val="single" w:sz="8" w:color="auto"/>
            </w:tcBorders>
            <w:shd w:val="clear" w:color="auto" w:fill="CCEBFF"/>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54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Arial" w:cs="Arial" w:eastAsia="Arial" w:hAnsi="Arial"/>
                <w:sz w:val="16"/>
                <w:szCs w:val="16"/>
                <w:color w:val="auto"/>
                <w:w w:val="94"/>
              </w:rPr>
              <w:t>Enwrap Logistic &amp; Packaging S.r.l.</w:t>
            </w:r>
          </w:p>
        </w:tc>
        <w:tc>
          <w:tcPr>
            <w:tcW w:w="1400" w:type="dxa"/>
            <w:vAlign w:val="bottom"/>
            <w:tcBorders>
              <w:bottom w:val="single" w:sz="8" w:color="auto"/>
              <w:right w:val="single" w:sz="8" w:color="auto"/>
            </w:tcBorders>
            <w:shd w:val="clear" w:color="auto" w:fill="CCEBFF"/>
          </w:tcPr>
          <w:p>
            <w:pPr>
              <w:spacing w:after="0"/>
              <w:rPr>
                <w:sz w:val="18"/>
                <w:szCs w:val="18"/>
                <w:color w:val="auto"/>
              </w:rPr>
            </w:pPr>
          </w:p>
        </w:tc>
        <w:tc>
          <w:tcPr>
            <w:tcW w:w="176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2"/>
              </w:rPr>
              <w:t>contingent consideration</w:t>
            </w:r>
          </w:p>
        </w:tc>
        <w:tc>
          <w:tcPr>
            <w:tcW w:w="80" w:type="dxa"/>
            <w:vAlign w:val="bottom"/>
            <w:tcBorders>
              <w:bottom w:val="single" w:sz="8" w:color="auto"/>
            </w:tcBorders>
            <w:shd w:val="clear" w:color="auto" w:fill="CCEBFF"/>
          </w:tcPr>
          <w:p>
            <w:pPr>
              <w:spacing w:after="0"/>
              <w:rPr>
                <w:sz w:val="18"/>
                <w:szCs w:val="18"/>
                <w:color w:val="auto"/>
              </w:rPr>
            </w:pPr>
          </w:p>
        </w:tc>
        <w:tc>
          <w:tcPr>
            <w:tcW w:w="980" w:type="dxa"/>
            <w:vAlign w:val="bottom"/>
            <w:tcBorders>
              <w:bottom w:val="single" w:sz="8" w:color="auto"/>
              <w:right w:val="single" w:sz="8" w:color="auto"/>
            </w:tcBorders>
            <w:shd w:val="clear" w:color="auto" w:fill="CCEBFF"/>
          </w:tcPr>
          <w:p>
            <w:pPr>
              <w:spacing w:after="0"/>
              <w:rPr>
                <w:sz w:val="18"/>
                <w:szCs w:val="18"/>
                <w:color w:val="auto"/>
              </w:rPr>
            </w:pPr>
          </w:p>
        </w:tc>
        <w:tc>
          <w:tcPr>
            <w:tcW w:w="140" w:type="dxa"/>
            <w:vAlign w:val="bottom"/>
            <w:tcBorders>
              <w:bottom w:val="single" w:sz="8" w:color="auto"/>
            </w:tcBorders>
            <w:shd w:val="clear" w:color="auto" w:fill="CCEBFF"/>
          </w:tcPr>
          <w:p>
            <w:pPr>
              <w:spacing w:after="0"/>
              <w:rPr>
                <w:sz w:val="18"/>
                <w:szCs w:val="18"/>
                <w:color w:val="auto"/>
              </w:rPr>
            </w:pPr>
          </w:p>
        </w:tc>
        <w:tc>
          <w:tcPr>
            <w:tcW w:w="960" w:type="dxa"/>
            <w:vAlign w:val="bottom"/>
            <w:tcBorders>
              <w:bottom w:val="single" w:sz="8" w:color="auto"/>
              <w:right w:val="single" w:sz="8" w:color="auto"/>
            </w:tcBorders>
            <w:shd w:val="clear" w:color="auto" w:fill="CCEBFF"/>
          </w:tcPr>
          <w:p>
            <w:pPr>
              <w:spacing w:after="0"/>
              <w:rPr>
                <w:sz w:val="18"/>
                <w:szCs w:val="18"/>
                <w:color w:val="auto"/>
              </w:rPr>
            </w:pPr>
          </w:p>
        </w:tc>
        <w:tc>
          <w:tcPr>
            <w:tcW w:w="106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540" w:type="dxa"/>
            <w:vAlign w:val="bottom"/>
            <w:tcBorders>
              <w:left w:val="single" w:sz="8" w:color="auto"/>
              <w:right w:val="single" w:sz="8" w:color="auto"/>
            </w:tcBorders>
            <w:vMerge w:val="continue"/>
            <w:shd w:val="clear" w:color="auto" w:fill="CCEBFF"/>
          </w:tcPr>
          <w:p>
            <w:pPr>
              <w:spacing w:after="0"/>
              <w:rPr>
                <w:sz w:val="15"/>
                <w:szCs w:val="15"/>
                <w:color w:val="auto"/>
              </w:rPr>
            </w:pPr>
          </w:p>
        </w:tc>
        <w:tc>
          <w:tcPr>
            <w:tcW w:w="6380" w:type="dxa"/>
            <w:vAlign w:val="bottom"/>
            <w:tcBorders>
              <w:right w:val="single" w:sz="8" w:color="auto"/>
            </w:tcBorders>
            <w:gridSpan w:val="7"/>
            <w:shd w:val="clear" w:color="auto" w:fill="CCEBFF"/>
          </w:tcPr>
          <w:p>
            <w:pPr>
              <w:spacing w:after="0" w:line="176" w:lineRule="exact"/>
              <w:rPr>
                <w:sz w:val="20"/>
                <w:szCs w:val="20"/>
                <w:color w:val="auto"/>
              </w:rPr>
            </w:pPr>
            <w:r>
              <w:rPr>
                <w:rFonts w:ascii="Arial" w:cs="Arial" w:eastAsia="Arial" w:hAnsi="Arial"/>
                <w:sz w:val="16"/>
                <w:szCs w:val="16"/>
                <w:color w:val="auto"/>
                <w:w w:val="98"/>
              </w:rPr>
              <w:t>Enwrap is a newly formed company dedicated to the logistics and packaging business of its</w:t>
            </w:r>
          </w:p>
        </w:tc>
        <w:tc>
          <w:tcPr>
            <w:tcW w:w="0" w:type="dxa"/>
            <w:vAlign w:val="bottom"/>
          </w:tcPr>
          <w:p>
            <w:pPr>
              <w:spacing w:after="0"/>
              <w:rPr>
                <w:sz w:val="1"/>
                <w:szCs w:val="1"/>
                <w:color w:val="auto"/>
              </w:rPr>
            </w:pPr>
          </w:p>
        </w:tc>
      </w:tr>
      <w:tr>
        <w:trPr>
          <w:trHeight w:val="216"/>
        </w:trPr>
        <w:tc>
          <w:tcPr>
            <w:tcW w:w="2540" w:type="dxa"/>
            <w:vAlign w:val="bottom"/>
            <w:tcBorders>
              <w:left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5"/>
              </w:rPr>
              <w:t>(Enwrap)</w:t>
            </w: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7"/>
              </w:rPr>
              <w:t>predecessor, Job Service S.p.A. Headquartered in Milan, Italy, Enwrap provides high-value,</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3"/>
              </w:rPr>
              <w:t>mixed material industrial packaging and logistics services through eight locations in Italy. These</w:t>
            </w:r>
          </w:p>
        </w:tc>
        <w:tc>
          <w:tcPr>
            <w:tcW w:w="0" w:type="dxa"/>
            <w:vAlign w:val="bottom"/>
          </w:tcPr>
          <w:p>
            <w:pPr>
              <w:spacing w:after="0"/>
              <w:rPr>
                <w:sz w:val="1"/>
                <w:szCs w:val="1"/>
                <w:color w:val="auto"/>
              </w:rPr>
            </w:pPr>
          </w:p>
        </w:tc>
      </w:tr>
      <w:tr>
        <w:trPr>
          <w:trHeight w:val="219"/>
        </w:trPr>
        <w:tc>
          <w:tcPr>
            <w:tcW w:w="254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4360" w:type="dxa"/>
            <w:vAlign w:val="bottom"/>
            <w:tcBorders>
              <w:bottom w:val="single" w:sz="8" w:color="auto"/>
            </w:tcBorders>
            <w:gridSpan w:val="5"/>
            <w:shd w:val="clear" w:color="auto" w:fill="CCEBFF"/>
          </w:tcPr>
          <w:p>
            <w:pPr>
              <w:spacing w:after="0"/>
              <w:rPr>
                <w:sz w:val="20"/>
                <w:szCs w:val="20"/>
                <w:color w:val="auto"/>
              </w:rPr>
            </w:pPr>
            <w:r>
              <w:rPr>
                <w:rFonts w:ascii="Arial" w:cs="Arial" w:eastAsia="Arial" w:hAnsi="Arial"/>
                <w:sz w:val="16"/>
                <w:szCs w:val="16"/>
                <w:color w:val="auto"/>
                <w:w w:val="98"/>
              </w:rPr>
              <w:t>locations generated annual sales of approximately $14 million.</w:t>
            </w:r>
          </w:p>
        </w:tc>
        <w:tc>
          <w:tcPr>
            <w:tcW w:w="960" w:type="dxa"/>
            <w:vAlign w:val="bottom"/>
            <w:tcBorders>
              <w:bottom w:val="single" w:sz="8" w:color="auto"/>
              <w:right w:val="single" w:sz="8" w:color="CCEBFF"/>
            </w:tcBorders>
            <w:shd w:val="clear" w:color="auto" w:fill="CCEBFF"/>
          </w:tcPr>
          <w:p>
            <w:pPr>
              <w:spacing w:after="0"/>
              <w:rPr>
                <w:sz w:val="19"/>
                <w:szCs w:val="19"/>
                <w:color w:val="auto"/>
              </w:rPr>
            </w:pPr>
          </w:p>
        </w:tc>
        <w:tc>
          <w:tcPr>
            <w:tcW w:w="106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540" w:type="dxa"/>
            <w:vAlign w:val="bottom"/>
            <w:tcBorders>
              <w:left w:val="single" w:sz="8" w:color="auto"/>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$19,136</w:t>
            </w:r>
          </w:p>
        </w:tc>
        <w:tc>
          <w:tcPr>
            <w:tcW w:w="8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540" w:type="dxa"/>
            <w:vAlign w:val="bottom"/>
            <w:tcBorders>
              <w:left w:val="single" w:sz="8" w:color="auto"/>
              <w:right w:val="single" w:sz="8" w:color="auto"/>
            </w:tcBorders>
          </w:tcPr>
          <w:p>
            <w:pPr>
              <w:spacing w:after="0"/>
              <w:rPr>
                <w:sz w:val="21"/>
                <w:szCs w:val="21"/>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July 14, 2020</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cash paid for 100% asset</w:t>
            </w:r>
          </w:p>
        </w:tc>
        <w:tc>
          <w:tcPr>
            <w:tcW w:w="80" w:type="dxa"/>
            <w:vAlign w:val="bottom"/>
          </w:tcPr>
          <w:p>
            <w:pPr>
              <w:jc w:val="right"/>
              <w:ind w:right="15"/>
              <w:spacing w:after="0"/>
              <w:rPr>
                <w:sz w:val="20"/>
                <w:szCs w:val="20"/>
                <w:color w:val="auto"/>
              </w:rPr>
            </w:pPr>
            <w:r>
              <w:rPr>
                <w:rFonts w:ascii="Arial" w:cs="Arial" w:eastAsia="Arial" w:hAnsi="Arial"/>
                <w:sz w:val="5"/>
                <w:szCs w:val="5"/>
                <w:color w:val="auto"/>
                <w:w w:val="70"/>
              </w:rPr>
              <w:t>$</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13,098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6,038</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Industrial</w:t>
            </w:r>
          </w:p>
        </w:tc>
        <w:tc>
          <w:tcPr>
            <w:tcW w:w="0" w:type="dxa"/>
            <w:vAlign w:val="bottom"/>
          </w:tcPr>
          <w:p>
            <w:pPr>
              <w:spacing w:after="0"/>
              <w:rPr>
                <w:sz w:val="1"/>
                <w:szCs w:val="1"/>
                <w:color w:val="auto"/>
              </w:rPr>
            </w:pPr>
          </w:p>
        </w:tc>
      </w:tr>
      <w:tr>
        <w:trPr>
          <w:trHeight w:val="152"/>
        </w:trPr>
        <w:tc>
          <w:tcPr>
            <w:tcW w:w="2540" w:type="dxa"/>
            <w:vAlign w:val="bottom"/>
            <w:tcBorders>
              <w:left w:val="single" w:sz="8" w:color="auto"/>
              <w:right w:val="single" w:sz="8" w:color="auto"/>
            </w:tcBorders>
          </w:tcPr>
          <w:p>
            <w:pPr>
              <w:spacing w:after="0"/>
              <w:rPr>
                <w:sz w:val="13"/>
                <w:szCs w:val="13"/>
                <w:color w:val="auto"/>
              </w:rPr>
            </w:pPr>
          </w:p>
        </w:tc>
        <w:tc>
          <w:tcPr>
            <w:tcW w:w="1400" w:type="dxa"/>
            <w:vAlign w:val="bottom"/>
            <w:tcBorders>
              <w:right w:val="single" w:sz="8" w:color="auto"/>
            </w:tcBorders>
          </w:tcPr>
          <w:p>
            <w:pPr>
              <w:spacing w:after="0"/>
              <w:rPr>
                <w:sz w:val="13"/>
                <w:szCs w:val="13"/>
                <w:color w:val="auto"/>
              </w:rPr>
            </w:pPr>
          </w:p>
        </w:tc>
        <w:tc>
          <w:tcPr>
            <w:tcW w:w="1760" w:type="dxa"/>
            <w:vAlign w:val="bottom"/>
            <w:tcBorders>
              <w:right w:val="single" w:sz="8" w:color="auto"/>
            </w:tcBorders>
          </w:tcPr>
          <w:p>
            <w:pPr>
              <w:jc w:val="center"/>
              <w:spacing w:after="0" w:line="152" w:lineRule="exact"/>
              <w:rPr>
                <w:sz w:val="20"/>
                <w:szCs w:val="20"/>
                <w:color w:val="auto"/>
              </w:rPr>
            </w:pPr>
            <w:r>
              <w:rPr>
                <w:rFonts w:ascii="Arial" w:cs="Arial" w:eastAsia="Arial" w:hAnsi="Arial"/>
                <w:sz w:val="16"/>
                <w:szCs w:val="16"/>
                <w:color w:val="auto"/>
                <w:w w:val="88"/>
              </w:rPr>
              <w:t>purchase and estimated</w:t>
            </w:r>
          </w:p>
        </w:tc>
        <w:tc>
          <w:tcPr>
            <w:tcW w:w="8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T&amp;R Lumber Company ("T&amp;R")</w:t>
            </w:r>
          </w:p>
        </w:tc>
        <w:tc>
          <w:tcPr>
            <w:tcW w:w="1400" w:type="dxa"/>
            <w:vAlign w:val="bottom"/>
            <w:tcBorders>
              <w:bottom w:val="single" w:sz="8" w:color="auto"/>
              <w:right w:val="single" w:sz="8" w:color="auto"/>
            </w:tcBorders>
          </w:tcPr>
          <w:p>
            <w:pPr>
              <w:spacing w:after="0"/>
              <w:rPr>
                <w:sz w:val="17"/>
                <w:szCs w:val="17"/>
                <w:color w:val="auto"/>
              </w:rPr>
            </w:pP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contingent consideration</w:t>
            </w: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540" w:type="dxa"/>
            <w:vAlign w:val="bottom"/>
            <w:tcBorders>
              <w:left w:val="single" w:sz="8" w:color="auto"/>
              <w:right w:val="single" w:sz="8" w:color="auto"/>
            </w:tcBorders>
            <w:vMerge w:val="continue"/>
          </w:tcPr>
          <w:p>
            <w:pPr>
              <w:spacing w:after="0"/>
              <w:rPr>
                <w:sz w:val="16"/>
                <w:szCs w:val="16"/>
                <w:color w:val="auto"/>
              </w:rPr>
            </w:pPr>
          </w:p>
        </w:tc>
        <w:tc>
          <w:tcPr>
            <w:tcW w:w="638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8"/>
              </w:rPr>
              <w:t>A manufacturer and distributor of a range of products used primarily by nurseries, including</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4"/>
              </w:rPr>
              <w:t>plastic growing containers, pots and trays; wooden stakes; trellises; tree boxes; shipping racks;</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5"/>
              </w:rPr>
              <w:t>and other nursery supplies based in Rancho Cucamonga, California. T&amp;R had annual sales of</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4"/>
              </w:rPr>
              <w:t>approximately $31 million. The acquisition of T&amp;R will allow us to leverage their expertise using</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2"/>
              </w:rPr>
              <w:t>our national manufacturing capacity to grow our agricultural product offerings and customer base</w:t>
            </w:r>
          </w:p>
        </w:tc>
        <w:tc>
          <w:tcPr>
            <w:tcW w:w="0" w:type="dxa"/>
            <w:vAlign w:val="bottom"/>
          </w:tcPr>
          <w:p>
            <w:pPr>
              <w:spacing w:after="0"/>
              <w:rPr>
                <w:sz w:val="1"/>
                <w:szCs w:val="1"/>
                <w:color w:val="auto"/>
              </w:rPr>
            </w:pPr>
          </w:p>
        </w:tc>
      </w:tr>
      <w:tr>
        <w:trPr>
          <w:trHeight w:val="219"/>
        </w:trPr>
        <w:tc>
          <w:tcPr>
            <w:tcW w:w="2540" w:type="dxa"/>
            <w:vAlign w:val="bottom"/>
            <w:tcBorders>
              <w:left w:val="single" w:sz="8" w:color="auto"/>
              <w:bottom w:val="single" w:sz="8" w:color="auto"/>
              <w:right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across the country.</w:t>
            </w:r>
          </w:p>
        </w:tc>
        <w:tc>
          <w:tcPr>
            <w:tcW w:w="17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The intangible assets for the above acquisitions, with the exception of T&amp;R, have not been finalized and allocated to their respective identifiable asset and goodwill accounts. In aggregate, acquisitions completed since the end of June 2020 and not consolidated with other operations contributed approximately $698.2 million in net sales and $28.9 million in operating profits during the first six months of 2021.</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ind w:left="560" w:hanging="510"/>
        <w:spacing w:after="0"/>
        <w:tabs>
          <w:tab w:leader="none" w:pos="5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The Company operates manufacturing, treating and distribution facilities internationally, but primarily in the United States. The business segments align with the following markets: UFP Retail Solutions, UFP Construction and UFP Industrial. The Company manages the operations of its individual locations primarily through a market-centered reporting structure under which each location is included in a business unit and business units are included in our Retail, Industrial, and Construction segments. In the case of locations which serve multiple segments, results are allocated and accounted for by segment. The exception to this market-centered reporting and management structure is the Company’s International segment, which comprises our Mexico, Canada, and Australia operations and sales and buying offices in other parts of the world.</w:t>
      </w:r>
    </w:p>
    <w:p>
      <w:pPr>
        <w:spacing w:after="0" w:line="192"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Our International segment and Ardellis (our insurance captive) have been included in the “All Other” column of the table below.</w:t>
      </w:r>
    </w:p>
    <w:p>
      <w:pPr>
        <w:spacing w:after="0" w:line="170" w:lineRule="exact"/>
        <w:rPr>
          <w:sz w:val="20"/>
          <w:szCs w:val="20"/>
          <w:color w:val="auto"/>
        </w:rPr>
      </w:pPr>
    </w:p>
    <w:p>
      <w:pPr>
        <w:jc w:val="both"/>
        <w:ind w:left="60" w:right="59" w:firstLine="492"/>
        <w:spacing w:after="0" w:line="291" w:lineRule="auto"/>
        <w:rPr>
          <w:sz w:val="20"/>
          <w:szCs w:val="20"/>
          <w:color w:val="auto"/>
        </w:rPr>
      </w:pPr>
      <w:r>
        <w:rPr>
          <w:rFonts w:ascii="Arial" w:cs="Arial" w:eastAsia="Arial" w:hAnsi="Arial"/>
          <w:sz w:val="16"/>
          <w:szCs w:val="16"/>
          <w:color w:val="auto"/>
        </w:rPr>
        <w:t>The “Corporate” column includes purchasing, transportation and administrative functions that serve our operating segments. Operating results of Corporate primarily consists of over (under) allocated costs. The operating results of UFP Real Estate, Inc., which owns and leases real estate, and UFP Transportation Ltd., which owns and leases transportation equipment, are also included in the Corporate column. An inter-company lease charge is assessed to our operating segments for the use of these assets at fair market value rates. Total assets of the Corporate column include unallocated cash and cash equivalents, certain prepaid assets, certain property, equipment and other assets pertaining to the centralized activities of Corporate, UFP Real Estate, Inc., and UFP Transportation Ltd. The tables below are presented in thousands: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19"/>
          </w:tcPr>
          <w:p>
            <w:pPr>
              <w:jc w:val="right"/>
              <w:spacing w:after="0"/>
              <w:rPr>
                <w:sz w:val="20"/>
                <w:szCs w:val="20"/>
                <w:color w:val="auto"/>
              </w:rPr>
            </w:pPr>
            <w:r>
              <w:rPr>
                <w:rFonts w:ascii="Arial" w:cs="Arial" w:eastAsia="Arial" w:hAnsi="Arial"/>
                <w:sz w:val="14"/>
                <w:szCs w:val="14"/>
                <w:b w:val="1"/>
                <w:bCs w:val="1"/>
                <w:color w:val="auto"/>
                <w:w w:val="93"/>
              </w:rPr>
              <w:t>Three Months Ended June 26, 2021</w:t>
            </w:r>
          </w:p>
        </w:tc>
        <w:tc>
          <w:tcPr>
            <w:tcW w:w="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55"/>
        </w:trPr>
        <w:tc>
          <w:tcPr>
            <w:tcW w:w="2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Retail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Industrial</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1"/>
              </w:rPr>
              <w:t>Construction</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5"/>
          </w:tcPr>
          <w:p>
            <w:pPr>
              <w:ind w:left="80"/>
              <w:spacing w:after="0" w:line="149" w:lineRule="exact"/>
              <w:rPr>
                <w:sz w:val="20"/>
                <w:szCs w:val="20"/>
                <w:color w:val="auto"/>
              </w:rPr>
            </w:pPr>
            <w:r>
              <w:rPr>
                <w:rFonts w:ascii="Arial" w:cs="Arial" w:eastAsia="Arial" w:hAnsi="Arial"/>
                <w:sz w:val="14"/>
                <w:szCs w:val="14"/>
                <w:b w:val="1"/>
                <w:bCs w:val="1"/>
                <w:color w:val="auto"/>
              </w:rPr>
              <w:t>All Other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5"/>
          </w:tcPr>
          <w:p>
            <w:pPr>
              <w:ind w:left="100"/>
              <w:spacing w:after="0" w:line="149" w:lineRule="exact"/>
              <w:rPr>
                <w:sz w:val="20"/>
                <w:szCs w:val="20"/>
                <w:color w:val="auto"/>
              </w:rPr>
            </w:pPr>
            <w:r>
              <w:rPr>
                <w:rFonts w:ascii="Arial" w:cs="Arial" w:eastAsia="Arial" w:hAnsi="Arial"/>
                <w:sz w:val="14"/>
                <w:szCs w:val="14"/>
                <w:b w:val="1"/>
                <w:bCs w:val="1"/>
                <w:color w:val="auto"/>
              </w:rPr>
              <w:t>Corporate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235"/>
              <w:spacing w:after="0" w:line="149"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3"/>
                <w:szCs w:val="13"/>
                <w:color w:val="auto"/>
              </w:rPr>
            </w:pPr>
          </w:p>
        </w:tc>
      </w:tr>
      <w:tr>
        <w:trPr>
          <w:trHeight w:val="216"/>
        </w:trPr>
        <w:tc>
          <w:tcPr>
            <w:tcW w:w="2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 to outside customers</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w w:val="88"/>
              </w:rPr>
              <w:t>$ 1,259,218</w:t>
            </w: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$ 611,181</w:t>
            </w: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$ 738,704</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89,470</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2,700,541</w:t>
            </w:r>
          </w:p>
        </w:tc>
        <w:tc>
          <w:tcPr>
            <w:tcW w:w="20" w:type="dxa"/>
            <w:vAlign w:val="bottom"/>
          </w:tcPr>
          <w:p>
            <w:pPr>
              <w:spacing w:after="0"/>
              <w:rPr>
                <w:sz w:val="18"/>
                <w:szCs w:val="18"/>
                <w:color w:val="auto"/>
              </w:rPr>
            </w:pPr>
          </w:p>
        </w:tc>
      </w:tr>
      <w:tr>
        <w:trPr>
          <w:trHeight w:val="216"/>
        </w:trPr>
        <w:tc>
          <w:tcPr>
            <w:tcW w:w="2760" w:type="dxa"/>
            <w:vAlign w:val="bottom"/>
          </w:tcPr>
          <w:p>
            <w:pPr>
              <w:ind w:left="20"/>
              <w:spacing w:after="0"/>
              <w:rPr>
                <w:sz w:val="20"/>
                <w:szCs w:val="20"/>
                <w:color w:val="auto"/>
              </w:rPr>
            </w:pPr>
            <w:r>
              <w:rPr>
                <w:rFonts w:ascii="Arial" w:cs="Arial" w:eastAsia="Arial" w:hAnsi="Arial"/>
                <w:sz w:val="18"/>
                <w:szCs w:val="18"/>
                <w:color w:val="auto"/>
              </w:rPr>
              <w:t>Intersegment net sales</w:t>
            </w:r>
          </w:p>
        </w:tc>
        <w:tc>
          <w:tcPr>
            <w:tcW w:w="1100" w:type="dxa"/>
            <w:vAlign w:val="bottom"/>
            <w:gridSpan w:val="6"/>
          </w:tcPr>
          <w:p>
            <w:pPr>
              <w:jc w:val="right"/>
              <w:spacing w:after="0"/>
              <w:rPr>
                <w:sz w:val="20"/>
                <w:szCs w:val="20"/>
                <w:color w:val="auto"/>
              </w:rPr>
            </w:pPr>
            <w:r>
              <w:rPr>
                <w:rFonts w:ascii="Arial" w:cs="Arial" w:eastAsia="Arial" w:hAnsi="Arial"/>
                <w:sz w:val="18"/>
                <w:szCs w:val="18"/>
                <w:color w:val="auto"/>
              </w:rPr>
              <w:t>65,147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5"/>
          </w:tcPr>
          <w:p>
            <w:pPr>
              <w:jc w:val="right"/>
              <w:spacing w:after="0"/>
              <w:rPr>
                <w:sz w:val="20"/>
                <w:szCs w:val="20"/>
                <w:color w:val="auto"/>
              </w:rPr>
            </w:pPr>
            <w:r>
              <w:rPr>
                <w:rFonts w:ascii="Arial" w:cs="Arial" w:eastAsia="Arial" w:hAnsi="Arial"/>
                <w:sz w:val="18"/>
                <w:szCs w:val="18"/>
                <w:color w:val="auto"/>
              </w:rPr>
              <w:t>24,985</w:t>
            </w:r>
          </w:p>
        </w:tc>
        <w:tc>
          <w:tcPr>
            <w:tcW w:w="1000" w:type="dxa"/>
            <w:vAlign w:val="bottom"/>
            <w:gridSpan w:val="6"/>
          </w:tcPr>
          <w:p>
            <w:pPr>
              <w:jc w:val="right"/>
              <w:spacing w:after="0"/>
              <w:rPr>
                <w:sz w:val="20"/>
                <w:szCs w:val="20"/>
                <w:color w:val="auto"/>
              </w:rPr>
            </w:pPr>
            <w:r>
              <w:rPr>
                <w:rFonts w:ascii="Arial" w:cs="Arial" w:eastAsia="Arial" w:hAnsi="Arial"/>
                <w:sz w:val="18"/>
                <w:szCs w:val="18"/>
                <w:color w:val="auto"/>
              </w:rPr>
              <w:t>20,034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126,054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w w:val="93"/>
              </w:rPr>
              <w:t>(236,220)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operating profit</w:t>
            </w:r>
          </w:p>
        </w:tc>
        <w:tc>
          <w:tcPr>
            <w:tcW w:w="11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62,051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79,526</w:t>
            </w:r>
          </w:p>
        </w:tc>
        <w:tc>
          <w:tcPr>
            <w:tcW w:w="10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67,107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236,935</w:t>
            </w:r>
          </w:p>
        </w:tc>
        <w:tc>
          <w:tcPr>
            <w:tcW w:w="20" w:type="dxa"/>
            <w:vAlign w:val="bottom"/>
          </w:tcPr>
          <w:p>
            <w:pPr>
              <w:spacing w:after="0"/>
              <w:rPr>
                <w:sz w:val="18"/>
                <w:szCs w:val="18"/>
                <w:color w:val="auto"/>
              </w:rPr>
            </w:pPr>
          </w:p>
        </w:tc>
      </w:tr>
      <w:tr>
        <w:trPr>
          <w:trHeight w:val="601"/>
        </w:trPr>
        <w:tc>
          <w:tcPr>
            <w:tcW w:w="2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2"/>
          </w:tcPr>
          <w:p>
            <w:pPr>
              <w:jc w:val="center"/>
              <w:ind w:right="800"/>
              <w:spacing w:after="0"/>
              <w:rPr>
                <w:sz w:val="20"/>
                <w:szCs w:val="20"/>
                <w:color w:val="auto"/>
              </w:rPr>
            </w:pPr>
            <w:r>
              <w:rPr>
                <w:rFonts w:ascii="Arial" w:cs="Arial" w:eastAsia="Arial" w:hAnsi="Arial"/>
                <w:sz w:val="14"/>
                <w:szCs w:val="14"/>
                <w:b w:val="1"/>
                <w:bCs w:val="1"/>
                <w:color w:val="auto"/>
                <w:w w:val="93"/>
              </w:rPr>
              <w:t>Three Months Ended June 27, 2020</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55"/>
        </w:trPr>
        <w:tc>
          <w:tcPr>
            <w:tcW w:w="2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Retail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8"/>
              </w:rPr>
              <w:t>Industrial</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1"/>
              </w:rPr>
              <w:t>Construction</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5"/>
          </w:tcPr>
          <w:p>
            <w:pPr>
              <w:ind w:left="80"/>
              <w:spacing w:after="0" w:line="149" w:lineRule="exact"/>
              <w:rPr>
                <w:sz w:val="20"/>
                <w:szCs w:val="20"/>
                <w:color w:val="auto"/>
              </w:rPr>
            </w:pPr>
            <w:r>
              <w:rPr>
                <w:rFonts w:ascii="Arial" w:cs="Arial" w:eastAsia="Arial" w:hAnsi="Arial"/>
                <w:sz w:val="14"/>
                <w:szCs w:val="14"/>
                <w:b w:val="1"/>
                <w:bCs w:val="1"/>
                <w:color w:val="auto"/>
              </w:rPr>
              <w:t>All Other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5"/>
          </w:tcPr>
          <w:p>
            <w:pPr>
              <w:ind w:left="80"/>
              <w:spacing w:after="0" w:line="149" w:lineRule="exact"/>
              <w:rPr>
                <w:sz w:val="20"/>
                <w:szCs w:val="20"/>
                <w:color w:val="auto"/>
              </w:rPr>
            </w:pPr>
            <w:r>
              <w:rPr>
                <w:rFonts w:ascii="Arial" w:cs="Arial" w:eastAsia="Arial" w:hAnsi="Arial"/>
                <w:sz w:val="14"/>
                <w:szCs w:val="14"/>
                <w:b w:val="1"/>
                <w:bCs w:val="1"/>
                <w:color w:val="auto"/>
              </w:rPr>
              <w:t>Corporate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235"/>
              <w:spacing w:after="0" w:line="149"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3"/>
                <w:szCs w:val="13"/>
                <w:color w:val="auto"/>
              </w:rPr>
            </w:pPr>
          </w:p>
        </w:tc>
      </w:tr>
      <w:tr>
        <w:trPr>
          <w:trHeight w:val="216"/>
        </w:trPr>
        <w:tc>
          <w:tcPr>
            <w:tcW w:w="2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 to outside customers</w:t>
            </w:r>
          </w:p>
        </w:tc>
        <w:tc>
          <w:tcPr>
            <w:tcW w:w="30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$ 609,190</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$ 224,379</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$ 359,170</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49,411</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1,242,001</w:t>
            </w:r>
          </w:p>
        </w:tc>
        <w:tc>
          <w:tcPr>
            <w:tcW w:w="20" w:type="dxa"/>
            <w:vAlign w:val="bottom"/>
          </w:tcPr>
          <w:p>
            <w:pPr>
              <w:spacing w:after="0"/>
              <w:rPr>
                <w:sz w:val="18"/>
                <w:szCs w:val="18"/>
                <w:color w:val="auto"/>
              </w:rPr>
            </w:pPr>
          </w:p>
        </w:tc>
      </w:tr>
      <w:tr>
        <w:trPr>
          <w:trHeight w:val="216"/>
        </w:trPr>
        <w:tc>
          <w:tcPr>
            <w:tcW w:w="2760" w:type="dxa"/>
            <w:vAlign w:val="bottom"/>
          </w:tcPr>
          <w:p>
            <w:pPr>
              <w:ind w:left="20"/>
              <w:spacing w:after="0"/>
              <w:rPr>
                <w:sz w:val="20"/>
                <w:szCs w:val="20"/>
                <w:color w:val="auto"/>
              </w:rPr>
            </w:pPr>
            <w:r>
              <w:rPr>
                <w:rFonts w:ascii="Arial" w:cs="Arial" w:eastAsia="Arial" w:hAnsi="Arial"/>
                <w:sz w:val="18"/>
                <w:szCs w:val="18"/>
                <w:color w:val="auto"/>
              </w:rPr>
              <w:t>Intersegment net sales</w:t>
            </w:r>
          </w:p>
        </w:tc>
        <w:tc>
          <w:tcPr>
            <w:tcW w:w="1080" w:type="dxa"/>
            <w:vAlign w:val="bottom"/>
            <w:gridSpan w:val="5"/>
          </w:tcPr>
          <w:p>
            <w:pPr>
              <w:jc w:val="right"/>
              <w:ind w:right="20"/>
              <w:spacing w:after="0"/>
              <w:rPr>
                <w:sz w:val="20"/>
                <w:szCs w:val="20"/>
                <w:color w:val="auto"/>
              </w:rPr>
            </w:pPr>
            <w:r>
              <w:rPr>
                <w:rFonts w:ascii="Arial" w:cs="Arial" w:eastAsia="Arial" w:hAnsi="Arial"/>
                <w:sz w:val="18"/>
                <w:szCs w:val="18"/>
                <w:color w:val="auto"/>
              </w:rPr>
              <w:t>34,104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5"/>
          </w:tcPr>
          <w:p>
            <w:pPr>
              <w:jc w:val="right"/>
              <w:ind w:right="20"/>
              <w:spacing w:after="0"/>
              <w:rPr>
                <w:sz w:val="20"/>
                <w:szCs w:val="20"/>
                <w:color w:val="auto"/>
              </w:rPr>
            </w:pPr>
            <w:r>
              <w:rPr>
                <w:rFonts w:ascii="Arial" w:cs="Arial" w:eastAsia="Arial" w:hAnsi="Arial"/>
                <w:sz w:val="18"/>
                <w:szCs w:val="18"/>
                <w:color w:val="auto"/>
              </w:rPr>
              <w:t>9,795</w:t>
            </w:r>
          </w:p>
        </w:tc>
        <w:tc>
          <w:tcPr>
            <w:tcW w:w="1000" w:type="dxa"/>
            <w:vAlign w:val="bottom"/>
            <w:gridSpan w:val="6"/>
          </w:tcPr>
          <w:p>
            <w:pPr>
              <w:jc w:val="right"/>
              <w:spacing w:after="0"/>
              <w:rPr>
                <w:sz w:val="20"/>
                <w:szCs w:val="20"/>
                <w:color w:val="auto"/>
              </w:rPr>
            </w:pPr>
            <w:r>
              <w:rPr>
                <w:rFonts w:ascii="Arial" w:cs="Arial" w:eastAsia="Arial" w:hAnsi="Arial"/>
                <w:sz w:val="18"/>
                <w:szCs w:val="18"/>
                <w:color w:val="auto"/>
              </w:rPr>
              <w:t>16,353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67,712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(127,964)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operating profit</w:t>
            </w:r>
          </w:p>
        </w:tc>
        <w:tc>
          <w:tcPr>
            <w:tcW w:w="10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45,775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15,420</w:t>
            </w:r>
          </w:p>
        </w:tc>
        <w:tc>
          <w:tcPr>
            <w:tcW w:w="10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19,542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92,359</w:t>
            </w:r>
          </w:p>
        </w:tc>
        <w:tc>
          <w:tcPr>
            <w:tcW w:w="20" w:type="dxa"/>
            <w:vAlign w:val="bottom"/>
          </w:tcPr>
          <w:p>
            <w:pPr>
              <w:spacing w:after="0"/>
              <w:rPr>
                <w:sz w:val="18"/>
                <w:szCs w:val="18"/>
                <w:color w:val="auto"/>
              </w:rPr>
            </w:pPr>
          </w:p>
        </w:tc>
      </w:tr>
      <w:tr>
        <w:trPr>
          <w:trHeight w:val="601"/>
        </w:trPr>
        <w:tc>
          <w:tcPr>
            <w:tcW w:w="27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17"/>
          </w:tcPr>
          <w:p>
            <w:pPr>
              <w:ind w:left="40"/>
              <w:spacing w:after="0"/>
              <w:rPr>
                <w:sz w:val="20"/>
                <w:szCs w:val="20"/>
                <w:color w:val="auto"/>
              </w:rPr>
            </w:pPr>
            <w:r>
              <w:rPr>
                <w:rFonts w:ascii="Arial" w:cs="Arial" w:eastAsia="Arial" w:hAnsi="Arial"/>
                <w:sz w:val="14"/>
                <w:szCs w:val="14"/>
                <w:b w:val="1"/>
                <w:bCs w:val="1"/>
                <w:color w:val="auto"/>
                <w:w w:val="94"/>
              </w:rPr>
              <w:t>Six Months Ended June 26, 2021</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55"/>
        </w:trPr>
        <w:tc>
          <w:tcPr>
            <w:tcW w:w="2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4"/>
          </w:tcPr>
          <w:p>
            <w:pPr>
              <w:jc w:val="right"/>
              <w:ind w:right="420"/>
              <w:spacing w:after="0" w:line="149" w:lineRule="exact"/>
              <w:rPr>
                <w:sz w:val="20"/>
                <w:szCs w:val="20"/>
                <w:color w:val="auto"/>
              </w:rPr>
            </w:pPr>
            <w:r>
              <w:rPr>
                <w:rFonts w:ascii="Arial" w:cs="Arial" w:eastAsia="Arial" w:hAnsi="Arial"/>
                <w:sz w:val="14"/>
                <w:szCs w:val="14"/>
                <w:b w:val="1"/>
                <w:bCs w:val="1"/>
                <w:color w:val="auto"/>
              </w:rPr>
              <w:t>Retail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gridSpan w:val="5"/>
          </w:tcPr>
          <w:p>
            <w:pPr>
              <w:jc w:val="right"/>
              <w:ind w:right="180"/>
              <w:spacing w:after="0" w:line="149" w:lineRule="exact"/>
              <w:rPr>
                <w:sz w:val="20"/>
                <w:szCs w:val="20"/>
                <w:color w:val="auto"/>
              </w:rPr>
            </w:pPr>
            <w:r>
              <w:rPr>
                <w:rFonts w:ascii="Arial" w:cs="Arial" w:eastAsia="Arial" w:hAnsi="Arial"/>
                <w:sz w:val="14"/>
                <w:szCs w:val="14"/>
                <w:b w:val="1"/>
                <w:bCs w:val="1"/>
                <w:color w:val="auto"/>
              </w:rPr>
              <w:t>Industrial</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w w:val="96"/>
              </w:rPr>
              <w:t>Construction</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All Other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Corporate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235"/>
              <w:spacing w:after="0" w:line="149"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3"/>
                <w:szCs w:val="13"/>
                <w:color w:val="auto"/>
              </w:rPr>
            </w:pPr>
          </w:p>
        </w:tc>
      </w:tr>
      <w:tr>
        <w:trPr>
          <w:trHeight w:val="216"/>
        </w:trPr>
        <w:tc>
          <w:tcPr>
            <w:tcW w:w="2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 to outside customers</w:t>
            </w:r>
          </w:p>
        </w:tc>
        <w:tc>
          <w:tcPr>
            <w:tcW w:w="94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0"/>
              </w:rPr>
              <w:t>$ 2,018,239</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gridSpan w:val="7"/>
            <w:shd w:val="clear" w:color="auto" w:fill="CCEEFF"/>
          </w:tcPr>
          <w:p>
            <w:pPr>
              <w:jc w:val="right"/>
              <w:spacing w:after="0"/>
              <w:rPr>
                <w:sz w:val="20"/>
                <w:szCs w:val="20"/>
                <w:color w:val="auto"/>
              </w:rPr>
            </w:pPr>
            <w:r>
              <w:rPr>
                <w:rFonts w:ascii="Arial" w:cs="Arial" w:eastAsia="Arial" w:hAnsi="Arial"/>
                <w:sz w:val="18"/>
                <w:szCs w:val="18"/>
                <w:color w:val="auto"/>
                <w:w w:val="90"/>
              </w:rPr>
              <w:t>$ 1,060,055</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3"/>
            <w:shd w:val="clear" w:color="auto" w:fill="CCEEFF"/>
          </w:tcPr>
          <w:p>
            <w:pPr>
              <w:spacing w:after="0"/>
              <w:rPr>
                <w:sz w:val="18"/>
                <w:szCs w:val="18"/>
                <w:color w:val="auto"/>
              </w:rPr>
            </w:pPr>
          </w:p>
        </w:tc>
        <w:tc>
          <w:tcPr>
            <w:tcW w:w="8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$ 1,298,234</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gridSpan w:val="2"/>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$ 145,047</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3,970</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4,525,545</w:t>
            </w:r>
          </w:p>
        </w:tc>
        <w:tc>
          <w:tcPr>
            <w:tcW w:w="20" w:type="dxa"/>
            <w:vAlign w:val="bottom"/>
          </w:tcPr>
          <w:p>
            <w:pPr>
              <w:spacing w:after="0"/>
              <w:rPr>
                <w:sz w:val="18"/>
                <w:szCs w:val="18"/>
                <w:color w:val="auto"/>
              </w:rPr>
            </w:pPr>
          </w:p>
        </w:tc>
      </w:tr>
      <w:tr>
        <w:trPr>
          <w:trHeight w:val="216"/>
        </w:trPr>
        <w:tc>
          <w:tcPr>
            <w:tcW w:w="2760" w:type="dxa"/>
            <w:vAlign w:val="bottom"/>
          </w:tcPr>
          <w:p>
            <w:pPr>
              <w:ind w:left="20"/>
              <w:spacing w:after="0"/>
              <w:rPr>
                <w:sz w:val="20"/>
                <w:szCs w:val="20"/>
                <w:color w:val="auto"/>
              </w:rPr>
            </w:pPr>
            <w:r>
              <w:rPr>
                <w:rFonts w:ascii="Arial" w:cs="Arial" w:eastAsia="Arial" w:hAnsi="Arial"/>
                <w:sz w:val="18"/>
                <w:szCs w:val="18"/>
                <w:color w:val="auto"/>
              </w:rPr>
              <w:t>Intersegment net sales</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112,733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42,891</w:t>
            </w:r>
          </w:p>
        </w:tc>
        <w:tc>
          <w:tcPr>
            <w:tcW w:w="20" w:type="dxa"/>
            <w:vAlign w:val="bottom"/>
          </w:tcPr>
          <w:p>
            <w:pPr>
              <w:spacing w:after="0"/>
              <w:rPr>
                <w:sz w:val="18"/>
                <w:szCs w:val="18"/>
                <w:color w:val="auto"/>
              </w:rPr>
            </w:pPr>
          </w:p>
        </w:tc>
        <w:tc>
          <w:tcPr>
            <w:tcW w:w="1000" w:type="dxa"/>
            <w:vAlign w:val="bottom"/>
            <w:gridSpan w:val="6"/>
          </w:tcPr>
          <w:p>
            <w:pPr>
              <w:jc w:val="right"/>
              <w:spacing w:after="0"/>
              <w:rPr>
                <w:sz w:val="20"/>
                <w:szCs w:val="20"/>
                <w:color w:val="auto"/>
              </w:rPr>
            </w:pPr>
            <w:r>
              <w:rPr>
                <w:rFonts w:ascii="Arial" w:cs="Arial" w:eastAsia="Arial" w:hAnsi="Arial"/>
                <w:sz w:val="18"/>
                <w:szCs w:val="18"/>
                <w:color w:val="auto"/>
              </w:rPr>
              <w:t>34,495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223,450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4"/>
          </w:tcPr>
          <w:p>
            <w:pPr>
              <w:jc w:val="right"/>
              <w:ind w:right="120"/>
              <w:spacing w:after="0"/>
              <w:rPr>
                <w:sz w:val="20"/>
                <w:szCs w:val="20"/>
                <w:color w:val="auto"/>
              </w:rPr>
            </w:pPr>
            <w:r>
              <w:rPr>
                <w:rFonts w:ascii="Arial" w:cs="Arial" w:eastAsia="Arial" w:hAnsi="Arial"/>
                <w:sz w:val="18"/>
                <w:szCs w:val="18"/>
                <w:color w:val="auto"/>
                <w:w w:val="95"/>
              </w:rPr>
              <w:t>(413,569)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operating profit</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115,596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119,936</w:t>
            </w:r>
          </w:p>
        </w:tc>
        <w:tc>
          <w:tcPr>
            <w:tcW w:w="20" w:type="dxa"/>
            <w:vAlign w:val="bottom"/>
            <w:shd w:val="clear" w:color="auto" w:fill="CCEEFF"/>
          </w:tcPr>
          <w:p>
            <w:pPr>
              <w:spacing w:after="0"/>
              <w:rPr>
                <w:sz w:val="18"/>
                <w:szCs w:val="18"/>
                <w:color w:val="auto"/>
              </w:rPr>
            </w:pPr>
          </w:p>
        </w:tc>
        <w:tc>
          <w:tcPr>
            <w:tcW w:w="10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100,125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374,422</w:t>
            </w:r>
          </w:p>
        </w:tc>
        <w:tc>
          <w:tcPr>
            <w:tcW w:w="20" w:type="dxa"/>
            <w:vAlign w:val="bottom"/>
          </w:tcPr>
          <w:p>
            <w:pPr>
              <w:spacing w:after="0"/>
              <w:rPr>
                <w:sz w:val="18"/>
                <w:szCs w:val="18"/>
                <w:color w:val="auto"/>
              </w:rPr>
            </w:pPr>
          </w:p>
        </w:tc>
      </w:tr>
      <w:tr>
        <w:trPr>
          <w:trHeight w:val="385"/>
        </w:trPr>
        <w:tc>
          <w:tcPr>
            <w:tcW w:w="2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16"/>
          </w:tcPr>
          <w:p>
            <w:pPr>
              <w:ind w:left="40"/>
              <w:spacing w:after="0"/>
              <w:rPr>
                <w:sz w:val="20"/>
                <w:szCs w:val="20"/>
                <w:color w:val="auto"/>
              </w:rPr>
            </w:pPr>
            <w:r>
              <w:rPr>
                <w:rFonts w:ascii="Arial" w:cs="Arial" w:eastAsia="Arial" w:hAnsi="Arial"/>
                <w:sz w:val="14"/>
                <w:szCs w:val="14"/>
                <w:b w:val="1"/>
                <w:bCs w:val="1"/>
                <w:color w:val="auto"/>
                <w:w w:val="94"/>
              </w:rPr>
              <w:t>Six Months Ended June 27, 2020</w:t>
            </w: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56"/>
        </w:trPr>
        <w:tc>
          <w:tcPr>
            <w:tcW w:w="2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Retail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Industrial</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w w:val="96"/>
              </w:rPr>
              <w:t>Construction</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5"/>
          </w:tcPr>
          <w:p>
            <w:pPr>
              <w:ind w:left="60"/>
              <w:spacing w:after="0" w:line="149" w:lineRule="exact"/>
              <w:rPr>
                <w:sz w:val="20"/>
                <w:szCs w:val="20"/>
                <w:color w:val="auto"/>
              </w:rPr>
            </w:pPr>
            <w:r>
              <w:rPr>
                <w:rFonts w:ascii="Arial" w:cs="Arial" w:eastAsia="Arial" w:hAnsi="Arial"/>
                <w:sz w:val="14"/>
                <w:szCs w:val="14"/>
                <w:b w:val="1"/>
                <w:bCs w:val="1"/>
                <w:color w:val="auto"/>
              </w:rPr>
              <w:t>All Other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5"/>
          </w:tcPr>
          <w:p>
            <w:pPr>
              <w:ind w:left="80"/>
              <w:spacing w:after="0" w:line="149" w:lineRule="exact"/>
              <w:rPr>
                <w:sz w:val="20"/>
                <w:szCs w:val="20"/>
                <w:color w:val="auto"/>
              </w:rPr>
            </w:pPr>
            <w:r>
              <w:rPr>
                <w:rFonts w:ascii="Arial" w:cs="Arial" w:eastAsia="Arial" w:hAnsi="Arial"/>
                <w:sz w:val="14"/>
                <w:szCs w:val="14"/>
                <w:b w:val="1"/>
                <w:bCs w:val="1"/>
                <w:color w:val="auto"/>
              </w:rPr>
              <w:t>Corporate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235"/>
              <w:spacing w:after="0" w:line="149"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3"/>
                <w:szCs w:val="13"/>
                <w:color w:val="auto"/>
              </w:rPr>
            </w:pPr>
          </w:p>
        </w:tc>
      </w:tr>
      <w:tr>
        <w:trPr>
          <w:trHeight w:val="216"/>
        </w:trPr>
        <w:tc>
          <w:tcPr>
            <w:tcW w:w="2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 to outside customers</w:t>
            </w:r>
          </w:p>
        </w:tc>
        <w:tc>
          <w:tcPr>
            <w:tcW w:w="300" w:type="dxa"/>
            <w:vAlign w:val="bottom"/>
            <w:tcBorders>
              <w:top w:val="single" w:sz="8" w:color="CCEEFF"/>
            </w:tcBorders>
            <w:gridSpan w:val="2"/>
            <w:shd w:val="clear" w:color="auto" w:fill="CCEEFF"/>
          </w:tcPr>
          <w:p>
            <w:pPr>
              <w:spacing w:after="0"/>
              <w:rPr>
                <w:sz w:val="18"/>
                <w:szCs w:val="18"/>
                <w:color w:val="auto"/>
              </w:rPr>
            </w:pPr>
          </w:p>
        </w:tc>
        <w:tc>
          <w:tcPr>
            <w:tcW w:w="780" w:type="dxa"/>
            <w:vAlign w:val="bottom"/>
            <w:tcBorders>
              <w:top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9"/>
              </w:rPr>
              <w:t>$ 961,351</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$ 480,922</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gridSpan w:val="4"/>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$ 740,325</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91,804</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2,274,063</w:t>
            </w:r>
          </w:p>
        </w:tc>
        <w:tc>
          <w:tcPr>
            <w:tcW w:w="20" w:type="dxa"/>
            <w:vAlign w:val="bottom"/>
          </w:tcPr>
          <w:p>
            <w:pPr>
              <w:spacing w:after="0"/>
              <w:rPr>
                <w:sz w:val="18"/>
                <w:szCs w:val="18"/>
                <w:color w:val="auto"/>
              </w:rPr>
            </w:pPr>
          </w:p>
        </w:tc>
      </w:tr>
      <w:tr>
        <w:trPr>
          <w:trHeight w:val="216"/>
        </w:trPr>
        <w:tc>
          <w:tcPr>
            <w:tcW w:w="2760" w:type="dxa"/>
            <w:vAlign w:val="bottom"/>
          </w:tcPr>
          <w:p>
            <w:pPr>
              <w:ind w:left="20"/>
              <w:spacing w:after="0"/>
              <w:rPr>
                <w:sz w:val="20"/>
                <w:szCs w:val="20"/>
                <w:color w:val="auto"/>
              </w:rPr>
            </w:pPr>
            <w:r>
              <w:rPr>
                <w:rFonts w:ascii="Arial" w:cs="Arial" w:eastAsia="Arial" w:hAnsi="Arial"/>
                <w:sz w:val="18"/>
                <w:szCs w:val="18"/>
                <w:color w:val="auto"/>
              </w:rPr>
              <w:t>Intersegment net sales</w:t>
            </w:r>
          </w:p>
        </w:tc>
        <w:tc>
          <w:tcPr>
            <w:tcW w:w="1080" w:type="dxa"/>
            <w:vAlign w:val="bottom"/>
            <w:gridSpan w:val="5"/>
          </w:tcPr>
          <w:p>
            <w:pPr>
              <w:jc w:val="right"/>
              <w:ind w:right="40"/>
              <w:spacing w:after="0"/>
              <w:rPr>
                <w:sz w:val="20"/>
                <w:szCs w:val="20"/>
                <w:color w:val="auto"/>
              </w:rPr>
            </w:pPr>
            <w:r>
              <w:rPr>
                <w:rFonts w:ascii="Arial" w:cs="Arial" w:eastAsia="Arial" w:hAnsi="Arial"/>
                <w:sz w:val="18"/>
                <w:szCs w:val="18"/>
                <w:color w:val="auto"/>
              </w:rPr>
              <w:t>63,962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21,015</w:t>
            </w:r>
          </w:p>
        </w:tc>
        <w:tc>
          <w:tcPr>
            <w:tcW w:w="20" w:type="dxa"/>
            <w:vAlign w:val="bottom"/>
          </w:tcPr>
          <w:p>
            <w:pPr>
              <w:spacing w:after="0"/>
              <w:rPr>
                <w:sz w:val="18"/>
                <w:szCs w:val="18"/>
                <w:color w:val="auto"/>
              </w:rPr>
            </w:pPr>
          </w:p>
        </w:tc>
        <w:tc>
          <w:tcPr>
            <w:tcW w:w="1000" w:type="dxa"/>
            <w:vAlign w:val="bottom"/>
            <w:gridSpan w:val="6"/>
          </w:tcPr>
          <w:p>
            <w:pPr>
              <w:jc w:val="right"/>
              <w:spacing w:after="0"/>
              <w:rPr>
                <w:sz w:val="20"/>
                <w:szCs w:val="20"/>
                <w:color w:val="auto"/>
              </w:rPr>
            </w:pPr>
            <w:r>
              <w:rPr>
                <w:rFonts w:ascii="Arial" w:cs="Arial" w:eastAsia="Arial" w:hAnsi="Arial"/>
                <w:sz w:val="18"/>
                <w:szCs w:val="18"/>
                <w:color w:val="auto"/>
              </w:rPr>
              <w:t>31,776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120,879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(237,632)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operating profit</w:t>
            </w:r>
          </w:p>
        </w:tc>
        <w:tc>
          <w:tcPr>
            <w:tcW w:w="10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59,901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31,800</w:t>
            </w:r>
          </w:p>
        </w:tc>
        <w:tc>
          <w:tcPr>
            <w:tcW w:w="20" w:type="dxa"/>
            <w:vAlign w:val="bottom"/>
            <w:shd w:val="clear" w:color="auto" w:fill="CCEEFF"/>
          </w:tcPr>
          <w:p>
            <w:pPr>
              <w:spacing w:after="0"/>
              <w:rPr>
                <w:sz w:val="18"/>
                <w:szCs w:val="18"/>
                <w:color w:val="auto"/>
              </w:rPr>
            </w:pPr>
          </w:p>
        </w:tc>
        <w:tc>
          <w:tcPr>
            <w:tcW w:w="10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34,031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150,990</w:t>
            </w:r>
          </w:p>
        </w:tc>
        <w:tc>
          <w:tcPr>
            <w:tcW w:w="20" w:type="dxa"/>
            <w:vAlign w:val="bottom"/>
          </w:tcPr>
          <w:p>
            <w:pPr>
              <w:spacing w:after="0"/>
              <w:rPr>
                <w:sz w:val="18"/>
                <w:szCs w:val="18"/>
                <w:color w:val="auto"/>
              </w:rPr>
            </w:pPr>
          </w:p>
        </w:tc>
      </w:tr>
      <w:tr>
        <w:trPr>
          <w:trHeight w:val="648"/>
        </w:trPr>
        <w:tc>
          <w:tcPr>
            <w:tcW w:w="2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gridSpan w:val="4"/>
          </w:tcPr>
          <w:p>
            <w:pPr>
              <w:jc w:val="center"/>
              <w:ind w:left="152"/>
              <w:spacing w:after="0"/>
              <w:rPr>
                <w:sz w:val="20"/>
                <w:szCs w:val="20"/>
                <w:color w:val="auto"/>
              </w:rPr>
            </w:pPr>
            <w:r>
              <w:rPr>
                <w:rFonts w:ascii="Arial" w:cs="Arial" w:eastAsia="Arial" w:hAnsi="Arial"/>
                <w:sz w:val="18"/>
                <w:szCs w:val="18"/>
                <w:color w:val="auto"/>
                <w:w w:val="89"/>
              </w:rPr>
              <w:t>15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2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4"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following table presents goodwill by segment as of June 26, 2021, and December 26, 2020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40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860" w:type="dxa"/>
            <w:vAlign w:val="bottom"/>
            <w:gridSpan w:val="2"/>
          </w:tcPr>
          <w:p>
            <w:pPr>
              <w:ind w:left="160"/>
              <w:spacing w:after="0"/>
              <w:rPr>
                <w:sz w:val="20"/>
                <w:szCs w:val="20"/>
                <w:color w:val="auto"/>
              </w:rPr>
            </w:pPr>
            <w:r>
              <w:rPr>
                <w:rFonts w:ascii="Arial" w:cs="Arial" w:eastAsia="Arial" w:hAnsi="Arial"/>
                <w:sz w:val="14"/>
                <w:szCs w:val="14"/>
                <w:b w:val="1"/>
                <w:bCs w:val="1"/>
                <w:color w:val="auto"/>
              </w:rPr>
              <w:t>Retail</w:t>
            </w:r>
          </w:p>
        </w:tc>
        <w:tc>
          <w:tcPr>
            <w:tcW w:w="8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Industrial</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Construction</w:t>
            </w: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All Other</w:t>
            </w: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Corporate</w:t>
            </w:r>
          </w:p>
        </w:tc>
        <w:tc>
          <w:tcPr>
            <w:tcW w:w="820" w:type="dxa"/>
            <w:vAlign w:val="bottom"/>
          </w:tcPr>
          <w:p>
            <w:pPr>
              <w:jc w:val="right"/>
              <w:ind w:right="153"/>
              <w:spacing w:after="0"/>
              <w:rPr>
                <w:sz w:val="20"/>
                <w:szCs w:val="20"/>
                <w:color w:val="auto"/>
              </w:rPr>
            </w:pPr>
            <w:r>
              <w:rPr>
                <w:rFonts w:ascii="Arial" w:cs="Arial" w:eastAsia="Arial" w:hAnsi="Arial"/>
                <w:sz w:val="14"/>
                <w:szCs w:val="14"/>
                <w:b w:val="1"/>
                <w:bCs w:val="1"/>
                <w:color w:val="auto"/>
              </w:rPr>
              <w:t>Total</w:t>
            </w:r>
          </w:p>
        </w:tc>
      </w:tr>
      <w:tr>
        <w:trPr>
          <w:trHeight w:val="216"/>
        </w:trPr>
        <w:tc>
          <w:tcPr>
            <w:tcW w:w="36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as of December 26, 2020</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$ 61,943</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87,827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90,729</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$ 11,694</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$ 252,193</w:t>
            </w:r>
          </w:p>
        </w:tc>
      </w:tr>
      <w:tr>
        <w:trPr>
          <w:trHeight w:val="216"/>
        </w:trPr>
        <w:tc>
          <w:tcPr>
            <w:tcW w:w="400" w:type="dxa"/>
            <w:vAlign w:val="bottom"/>
          </w:tcPr>
          <w:p>
            <w:pPr>
              <w:ind w:left="20"/>
              <w:spacing w:after="0"/>
              <w:rPr>
                <w:sz w:val="20"/>
                <w:szCs w:val="20"/>
                <w:color w:val="auto"/>
              </w:rPr>
            </w:pPr>
            <w:r>
              <w:rPr>
                <w:rFonts w:ascii="Arial" w:cs="Arial" w:eastAsia="Arial" w:hAnsi="Arial"/>
                <w:sz w:val="18"/>
                <w:szCs w:val="18"/>
                <w:color w:val="auto"/>
                <w:w w:val="89"/>
              </w:rPr>
              <w:t>2021</w:t>
            </w:r>
          </w:p>
        </w:tc>
        <w:tc>
          <w:tcPr>
            <w:tcW w:w="3280" w:type="dxa"/>
            <w:vAlign w:val="bottom"/>
          </w:tcPr>
          <w:p>
            <w:pPr>
              <w:ind w:left="20"/>
              <w:spacing w:after="0"/>
              <w:rPr>
                <w:sz w:val="20"/>
                <w:szCs w:val="20"/>
                <w:color w:val="auto"/>
              </w:rPr>
            </w:pPr>
            <w:r>
              <w:rPr>
                <w:rFonts w:ascii="Arial" w:cs="Arial" w:eastAsia="Arial" w:hAnsi="Arial"/>
                <w:sz w:val="18"/>
                <w:szCs w:val="18"/>
                <w:color w:val="auto"/>
              </w:rPr>
              <w:t>Acquisitions</w:t>
            </w:r>
          </w:p>
        </w:tc>
        <w:tc>
          <w:tcPr>
            <w:tcW w:w="700" w:type="dxa"/>
            <w:vAlign w:val="bottom"/>
          </w:tcPr>
          <w:p>
            <w:pPr>
              <w:jc w:val="right"/>
              <w:spacing w:after="0"/>
              <w:rPr>
                <w:sz w:val="20"/>
                <w:szCs w:val="20"/>
                <w:color w:val="auto"/>
              </w:rPr>
            </w:pPr>
            <w:r>
              <w:rPr>
                <w:rFonts w:ascii="Arial" w:cs="Arial" w:eastAsia="Arial" w:hAnsi="Arial"/>
                <w:sz w:val="18"/>
                <w:szCs w:val="18"/>
                <w:color w:val="auto"/>
              </w:rPr>
              <w:t>19,442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43,844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4,570</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4,176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72,032</w:t>
            </w:r>
          </w:p>
        </w:tc>
      </w:tr>
      <w:tr>
        <w:trPr>
          <w:trHeight w:val="216"/>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2021</w:t>
            </w:r>
          </w:p>
        </w:tc>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Accounting Adjustments</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(2,291)</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(1,653)</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(2,060)</w:t>
            </w: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(6,004)</w:t>
            </w:r>
          </w:p>
        </w:tc>
      </w:tr>
      <w:tr>
        <w:trPr>
          <w:trHeight w:val="223"/>
        </w:trPr>
        <w:tc>
          <w:tcPr>
            <w:tcW w:w="3680" w:type="dxa"/>
            <w:vAlign w:val="bottom"/>
            <w:gridSpan w:val="2"/>
          </w:tcPr>
          <w:p>
            <w:pPr>
              <w:ind w:left="20"/>
              <w:spacing w:after="0"/>
              <w:rPr>
                <w:sz w:val="20"/>
                <w:szCs w:val="20"/>
                <w:color w:val="auto"/>
              </w:rPr>
            </w:pPr>
            <w:r>
              <w:rPr>
                <w:rFonts w:ascii="Arial" w:cs="Arial" w:eastAsia="Arial" w:hAnsi="Arial"/>
                <w:sz w:val="18"/>
                <w:szCs w:val="18"/>
                <w:color w:val="auto"/>
              </w:rPr>
              <w:t>Foreign Exchange, Net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(113)</w:t>
            </w:r>
          </w:p>
        </w:tc>
        <w:tc>
          <w:tcPr>
            <w:tcW w:w="260" w:type="dxa"/>
            <w:vAlign w:val="bottom"/>
          </w:tcPr>
          <w:p>
            <w:pPr>
              <w:spacing w:after="0"/>
              <w:rPr>
                <w:sz w:val="19"/>
                <w:szCs w:val="19"/>
                <w:color w:val="auto"/>
              </w:rPr>
            </w:pP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36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as of June 26, 2021</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$ 81,385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129,380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93,646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$ 13,697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$ 318,108</w:t>
            </w:r>
          </w:p>
        </w:tc>
      </w:tr>
      <w:tr>
        <w:trPr>
          <w:trHeight w:val="20"/>
        </w:trPr>
        <w:tc>
          <w:tcPr>
            <w:tcW w:w="4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presents total assets by segment as of June 26, 2021, and December 26, 2020 (in thousands).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18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w w:val="87"/>
              </w:rPr>
              <w:t>Total Assets by Segment</w:t>
            </w:r>
          </w:p>
        </w:tc>
        <w:tc>
          <w:tcPr>
            <w:tcW w:w="5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r>
      <w:tr>
        <w:trPr>
          <w:trHeight w:val="13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080" w:type="dxa"/>
            <w:vAlign w:val="bottom"/>
            <w:gridSpan w:val="2"/>
          </w:tcPr>
          <w:p>
            <w:pPr>
              <w:ind w:left="200"/>
              <w:spacing w:after="0" w:line="139" w:lineRule="exact"/>
              <w:rPr>
                <w:sz w:val="20"/>
                <w:szCs w:val="20"/>
                <w:color w:val="auto"/>
              </w:rPr>
            </w:pPr>
            <w:r>
              <w:rPr>
                <w:rFonts w:ascii="Arial" w:cs="Arial" w:eastAsia="Arial" w:hAnsi="Arial"/>
                <w:sz w:val="14"/>
                <w:szCs w:val="14"/>
                <w:b w:val="1"/>
                <w:bCs w:val="1"/>
                <w:color w:val="auto"/>
              </w:rPr>
              <w:t>June 26,</w:t>
            </w:r>
          </w:p>
        </w:tc>
        <w:tc>
          <w:tcPr>
            <w:tcW w:w="1100" w:type="dxa"/>
            <w:vAlign w:val="bottom"/>
            <w:gridSpan w:val="3"/>
          </w:tcPr>
          <w:p>
            <w:pPr>
              <w:ind w:left="40"/>
              <w:spacing w:after="0" w:line="139" w:lineRule="exact"/>
              <w:rPr>
                <w:sz w:val="20"/>
                <w:szCs w:val="20"/>
                <w:color w:val="auto"/>
              </w:rPr>
            </w:pPr>
            <w:r>
              <w:rPr>
                <w:rFonts w:ascii="Arial" w:cs="Arial" w:eastAsia="Arial" w:hAnsi="Arial"/>
                <w:sz w:val="14"/>
                <w:szCs w:val="14"/>
                <w:b w:val="1"/>
                <w:bCs w:val="1"/>
                <w:color w:val="auto"/>
              </w:rPr>
              <w:t>December 26,</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71"/>
        </w:trPr>
        <w:tc>
          <w:tcPr>
            <w:tcW w:w="6060" w:type="dxa"/>
            <w:vAlign w:val="bottom"/>
            <w:gridSpan w:val="3"/>
          </w:tcPr>
          <w:p>
            <w:pPr>
              <w:ind w:left="20"/>
              <w:spacing w:after="0"/>
              <w:rPr>
                <w:sz w:val="20"/>
                <w:szCs w:val="20"/>
                <w:color w:val="auto"/>
              </w:rPr>
            </w:pPr>
            <w:r>
              <w:rPr>
                <w:rFonts w:ascii="Arial" w:cs="Arial" w:eastAsia="Arial" w:hAnsi="Arial"/>
                <w:sz w:val="14"/>
                <w:szCs w:val="14"/>
                <w:b w:val="1"/>
                <w:bCs w:val="1"/>
                <w:color w:val="auto"/>
              </w:rPr>
              <w:t>Segment Classification</w:t>
            </w:r>
          </w:p>
        </w:tc>
        <w:tc>
          <w:tcPr>
            <w:tcW w:w="920" w:type="dxa"/>
            <w:vAlign w:val="bottom"/>
          </w:tcPr>
          <w:p>
            <w:pPr>
              <w:jc w:val="right"/>
              <w:ind w:right="236"/>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 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shd w:val="clear" w:color="auto" w:fill="000000"/>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shd w:val="clear" w:color="auto" w:fill="000000"/>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shd w:val="clear" w:color="auto" w:fill="000000"/>
          </w:tcPr>
          <w:p>
            <w:pPr>
              <w:spacing w:after="0" w:line="20" w:lineRule="exact"/>
              <w:rPr>
                <w:sz w:val="1"/>
                <w:szCs w:val="1"/>
                <w:color w:val="auto"/>
              </w:rPr>
            </w:pPr>
          </w:p>
        </w:tc>
        <w:tc>
          <w:tcPr>
            <w:tcW w:w="800" w:type="dxa"/>
            <w:vAlign w:val="bottom"/>
            <w:tcBorders>
              <w:bottom w:val="single" w:sz="8" w:color="auto"/>
            </w:tcBorders>
            <w:shd w:val="clear" w:color="auto" w:fill="000000"/>
          </w:tcPr>
          <w:p>
            <w:pPr>
              <w:spacing w:after="0" w:line="20" w:lineRule="exact"/>
              <w:rPr>
                <w:sz w:val="1"/>
                <w:szCs w:val="1"/>
                <w:color w:val="auto"/>
              </w:rPr>
            </w:pPr>
          </w:p>
        </w:tc>
        <w:tc>
          <w:tcPr>
            <w:tcW w:w="180" w:type="dxa"/>
            <w:vAlign w:val="bottom"/>
            <w:tcBorders>
              <w:bottom w:val="single" w:sz="8" w:color="CCEEFF"/>
              <w:right w:val="single" w:sz="8" w:color="auto"/>
            </w:tcBorders>
          </w:tcPr>
          <w:p>
            <w:pPr>
              <w:spacing w:after="0" w:line="20" w:lineRule="exact"/>
              <w:rPr>
                <w:sz w:val="1"/>
                <w:szCs w:val="1"/>
                <w:color w:val="auto"/>
              </w:rPr>
            </w:pPr>
          </w:p>
        </w:tc>
        <w:tc>
          <w:tcPr>
            <w:tcW w:w="500" w:type="dxa"/>
            <w:vAlign w:val="bottom"/>
            <w:tcBorders>
              <w:bottom w:val="single" w:sz="8" w:color="auto"/>
            </w:tcBorders>
            <w:shd w:val="clear" w:color="auto" w:fill="000000"/>
          </w:tcPr>
          <w:p>
            <w:pPr>
              <w:spacing w:after="0" w:line="20" w:lineRule="exact"/>
              <w:rPr>
                <w:sz w:val="1"/>
                <w:szCs w:val="1"/>
                <w:color w:val="auto"/>
              </w:rPr>
            </w:pPr>
          </w:p>
        </w:tc>
        <w:tc>
          <w:tcPr>
            <w:tcW w:w="160" w:type="dxa"/>
            <w:vAlign w:val="bottom"/>
            <w:tcBorders>
              <w:bottom w:val="single" w:sz="8" w:color="auto"/>
            </w:tcBorders>
            <w:shd w:val="clear" w:color="auto" w:fill="000000"/>
          </w:tcPr>
          <w:p>
            <w:pPr>
              <w:spacing w:after="0" w:line="20" w:lineRule="exact"/>
              <w:rPr>
                <w:sz w:val="1"/>
                <w:szCs w:val="1"/>
                <w:color w:val="auto"/>
              </w:rPr>
            </w:pPr>
          </w:p>
        </w:tc>
      </w:tr>
      <w:tr>
        <w:trPr>
          <w:trHeight w:val="203"/>
        </w:trPr>
        <w:tc>
          <w:tcPr>
            <w:tcW w:w="6060" w:type="dxa"/>
            <w:vAlign w:val="bottom"/>
            <w:gridSpan w:val="3"/>
            <w:shd w:val="clear" w:color="auto" w:fill="CCEEFF"/>
          </w:tcPr>
          <w:p>
            <w:pPr>
              <w:ind w:left="20"/>
              <w:spacing w:after="0" w:line="203" w:lineRule="exact"/>
              <w:rPr>
                <w:sz w:val="20"/>
                <w:szCs w:val="20"/>
                <w:color w:val="auto"/>
              </w:rPr>
            </w:pPr>
            <w:r>
              <w:rPr>
                <w:rFonts w:ascii="Arial" w:cs="Arial" w:eastAsia="Arial" w:hAnsi="Arial"/>
                <w:sz w:val="18"/>
                <w:szCs w:val="18"/>
                <w:color w:val="auto"/>
              </w:rPr>
              <w:t>Retail</w:t>
            </w: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$ 1,053,736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510,464</w:t>
            </w:r>
          </w:p>
        </w:tc>
        <w:tc>
          <w:tcPr>
            <w:tcW w:w="180" w:type="dxa"/>
            <w:vAlign w:val="bottom"/>
            <w:tcBorders>
              <w:right w:val="single" w:sz="8" w:color="CCEEFF"/>
            </w:tcBorders>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106.4</w:t>
            </w:r>
          </w:p>
        </w:tc>
        <w:tc>
          <w:tcPr>
            <w:tcW w:w="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4"/>
              </w:rPr>
              <w:t>%</w:t>
            </w:r>
          </w:p>
        </w:tc>
      </w:tr>
      <w:tr>
        <w:trPr>
          <w:trHeight w:val="216"/>
        </w:trPr>
        <w:tc>
          <w:tcPr>
            <w:tcW w:w="6060" w:type="dxa"/>
            <w:vAlign w:val="bottom"/>
            <w:gridSpan w:val="3"/>
          </w:tcPr>
          <w:p>
            <w:pPr>
              <w:ind w:left="20"/>
              <w:spacing w:after="0"/>
              <w:rPr>
                <w:sz w:val="20"/>
                <w:szCs w:val="20"/>
                <w:color w:val="auto"/>
              </w:rPr>
            </w:pPr>
            <w:r>
              <w:rPr>
                <w:rFonts w:ascii="Arial" w:cs="Arial" w:eastAsia="Arial" w:hAnsi="Arial"/>
                <w:sz w:val="18"/>
                <w:szCs w:val="18"/>
                <w:color w:val="auto"/>
              </w:rPr>
              <w:t>Industrial</w:t>
            </w:r>
          </w:p>
        </w:tc>
        <w:tc>
          <w:tcPr>
            <w:tcW w:w="920" w:type="dxa"/>
            <w:vAlign w:val="bottom"/>
          </w:tcPr>
          <w:p>
            <w:pPr>
              <w:jc w:val="right"/>
              <w:spacing w:after="0"/>
              <w:rPr>
                <w:sz w:val="20"/>
                <w:szCs w:val="20"/>
                <w:color w:val="auto"/>
              </w:rPr>
            </w:pPr>
            <w:r>
              <w:rPr>
                <w:rFonts w:ascii="Arial" w:cs="Arial" w:eastAsia="Arial" w:hAnsi="Arial"/>
                <w:sz w:val="18"/>
                <w:szCs w:val="18"/>
                <w:color w:val="auto"/>
              </w:rPr>
              <w:t>784,049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416,487</w:t>
            </w: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88.3</w:t>
            </w:r>
          </w:p>
        </w:tc>
        <w:tc>
          <w:tcPr>
            <w:tcW w:w="160" w:type="dxa"/>
            <w:vAlign w:val="bottom"/>
          </w:tcPr>
          <w:p>
            <w:pPr>
              <w:spacing w:after="0"/>
              <w:rPr>
                <w:sz w:val="18"/>
                <w:szCs w:val="18"/>
                <w:color w:val="auto"/>
              </w:rPr>
            </w:pPr>
          </w:p>
        </w:tc>
      </w:tr>
      <w:tr>
        <w:trPr>
          <w:trHeight w:val="216"/>
        </w:trPr>
        <w:tc>
          <w:tcPr>
            <w:tcW w:w="6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Construction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640,982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510,972</w:t>
            </w:r>
          </w:p>
        </w:tc>
        <w:tc>
          <w:tcPr>
            <w:tcW w:w="18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60" w:type="dxa"/>
            <w:vAlign w:val="bottom"/>
            <w:shd w:val="clear" w:color="auto" w:fill="CCEEFF"/>
          </w:tcPr>
          <w:p>
            <w:pPr>
              <w:spacing w:after="0"/>
              <w:rPr>
                <w:sz w:val="18"/>
                <w:szCs w:val="18"/>
                <w:color w:val="auto"/>
              </w:rPr>
            </w:pPr>
          </w:p>
        </w:tc>
      </w:tr>
      <w:tr>
        <w:trPr>
          <w:trHeight w:val="216"/>
        </w:trPr>
        <w:tc>
          <w:tcPr>
            <w:tcW w:w="6060" w:type="dxa"/>
            <w:vAlign w:val="bottom"/>
            <w:gridSpan w:val="3"/>
          </w:tcPr>
          <w:p>
            <w:pPr>
              <w:ind w:left="20"/>
              <w:spacing w:after="0"/>
              <w:rPr>
                <w:sz w:val="20"/>
                <w:szCs w:val="20"/>
                <w:color w:val="auto"/>
              </w:rPr>
            </w:pPr>
            <w:r>
              <w:rPr>
                <w:rFonts w:ascii="Arial" w:cs="Arial" w:eastAsia="Arial" w:hAnsi="Arial"/>
                <w:sz w:val="18"/>
                <w:szCs w:val="18"/>
                <w:color w:val="auto"/>
              </w:rPr>
              <w:t>All Other</w:t>
            </w:r>
          </w:p>
        </w:tc>
        <w:tc>
          <w:tcPr>
            <w:tcW w:w="920" w:type="dxa"/>
            <w:vAlign w:val="bottom"/>
          </w:tcPr>
          <w:p>
            <w:pPr>
              <w:jc w:val="right"/>
              <w:spacing w:after="0"/>
              <w:rPr>
                <w:sz w:val="20"/>
                <w:szCs w:val="20"/>
                <w:color w:val="auto"/>
              </w:rPr>
            </w:pPr>
            <w:r>
              <w:rPr>
                <w:rFonts w:ascii="Arial" w:cs="Arial" w:eastAsia="Arial" w:hAnsi="Arial"/>
                <w:sz w:val="18"/>
                <w:szCs w:val="18"/>
                <w:color w:val="auto"/>
              </w:rPr>
              <w:t>266,720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196,856</w:t>
            </w: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35.5</w:t>
            </w:r>
          </w:p>
        </w:tc>
        <w:tc>
          <w:tcPr>
            <w:tcW w:w="160" w:type="dxa"/>
            <w:vAlign w:val="bottom"/>
          </w:tcPr>
          <w:p>
            <w:pPr>
              <w:spacing w:after="0"/>
              <w:rPr>
                <w:sz w:val="18"/>
                <w:szCs w:val="18"/>
                <w:color w:val="auto"/>
              </w:rPr>
            </w:pPr>
          </w:p>
        </w:tc>
      </w:tr>
      <w:tr>
        <w:trPr>
          <w:trHeight w:val="236"/>
        </w:trPr>
        <w:tc>
          <w:tcPr>
            <w:tcW w:w="6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482,796</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770,112</w:t>
            </w: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03"/>
        </w:trPr>
        <w:tc>
          <w:tcPr>
            <w:tcW w:w="6060" w:type="dxa"/>
            <w:vAlign w:val="bottom"/>
            <w:gridSpan w:val="3"/>
          </w:tcPr>
          <w:p>
            <w:pPr>
              <w:ind w:left="20"/>
              <w:spacing w:after="0" w:line="203" w:lineRule="exact"/>
              <w:rPr>
                <w:sz w:val="20"/>
                <w:szCs w:val="20"/>
                <w:color w:val="auto"/>
              </w:rPr>
            </w:pPr>
            <w:r>
              <w:rPr>
                <w:rFonts w:ascii="Arial" w:cs="Arial" w:eastAsia="Arial" w:hAnsi="Arial"/>
                <w:sz w:val="18"/>
                <w:szCs w:val="18"/>
                <w:color w:val="auto"/>
              </w:rPr>
              <w:t>Total Assets</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8"/>
              </w:rPr>
              <w:t>$ 3,228,283</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2,404,891</w:t>
            </w:r>
          </w:p>
        </w:tc>
        <w:tc>
          <w:tcPr>
            <w:tcW w:w="180" w:type="dxa"/>
            <w:vAlign w:val="bottom"/>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rPr>
              <w:t>34.2</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74"/>
              </w:rPr>
              <w:t>%</w:t>
            </w: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44" w:lineRule="exact"/>
        <w:rPr>
          <w:sz w:val="20"/>
          <w:szCs w:val="20"/>
          <w:color w:val="auto"/>
        </w:rPr>
      </w:pPr>
    </w:p>
    <w:p>
      <w:pPr>
        <w:ind w:left="560" w:hanging="510"/>
        <w:spacing w:after="0"/>
        <w:tabs>
          <w:tab w:leader="none" w:pos="5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Effective tax rates differ from statutory federal income tax rates, primarily due to provisions for foreign, state and local income taxes and permanent tax differences. Our effective tax rate was 25.0% in the second quarter of 2021 compared to 25.3% for same period in 2020 and was 24.4% in the first six months of 2021 compared to 25.1% for the same period in 2020. The decrease was primarily due to a decrease in permanent tax differences in 2021 compared to the prior year, none of which are individually significant.</w:t>
      </w:r>
    </w:p>
    <w:p>
      <w:pPr>
        <w:spacing w:after="0" w:line="197" w:lineRule="exact"/>
        <w:rPr>
          <w:sz w:val="20"/>
          <w:szCs w:val="20"/>
          <w:color w:val="auto"/>
        </w:rPr>
      </w:pPr>
    </w:p>
    <w:p>
      <w:pPr>
        <w:ind w:left="480" w:hanging="430"/>
        <w:spacing w:after="0"/>
        <w:tabs>
          <w:tab w:leader="none" w:pos="4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60" w:right="419" w:firstLine="492"/>
        <w:spacing w:after="0" w:line="277" w:lineRule="auto"/>
        <w:rPr>
          <w:sz w:val="20"/>
          <w:szCs w:val="20"/>
          <w:color w:val="auto"/>
        </w:rPr>
      </w:pPr>
      <w:r>
        <w:rPr>
          <w:rFonts w:ascii="Arial" w:cs="Arial" w:eastAsia="Arial" w:hAnsi="Arial"/>
          <w:sz w:val="18"/>
          <w:szCs w:val="18"/>
          <w:color w:val="auto"/>
        </w:rPr>
        <w:t>Below is a summary of common stock issuances for the first six months of 2021 and 2020 (in thousands, except average share price):</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76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June 26, 2021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28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Average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2560" w:type="dxa"/>
            <w:vAlign w:val="bottom"/>
          </w:tcPr>
          <w:p>
            <w:pPr>
              <w:spacing w:after="0"/>
              <w:rPr>
                <w:sz w:val="5"/>
                <w:szCs w:val="5"/>
                <w:color w:val="auto"/>
              </w:rPr>
            </w:pPr>
          </w:p>
        </w:tc>
        <w:tc>
          <w:tcPr>
            <w:tcW w:w="27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800" w:type="dxa"/>
            <w:vAlign w:val="bottom"/>
            <w:vMerge w:val="restart"/>
          </w:tcPr>
          <w:p>
            <w:pPr>
              <w:spacing w:after="0" w:line="192" w:lineRule="exact"/>
              <w:rPr>
                <w:sz w:val="20"/>
                <w:szCs w:val="20"/>
                <w:color w:val="auto"/>
              </w:rPr>
            </w:pPr>
            <w:r>
              <w:rPr>
                <w:rFonts w:ascii="Arial" w:cs="Arial" w:eastAsia="Arial" w:hAnsi="Arial"/>
                <w:sz w:val="18"/>
                <w:szCs w:val="18"/>
                <w:b w:val="1"/>
                <w:bCs w:val="1"/>
                <w:color w:val="auto"/>
                <w:w w:val="88"/>
              </w:rPr>
              <w:t>Share Issuance Activity</w:t>
            </w:r>
          </w:p>
        </w:tc>
        <w:tc>
          <w:tcPr>
            <w:tcW w:w="2560" w:type="dxa"/>
            <w:vAlign w:val="bottom"/>
          </w:tcPr>
          <w:p>
            <w:pPr>
              <w:spacing w:after="0"/>
              <w:rPr>
                <w:sz w:val="7"/>
                <w:szCs w:val="7"/>
                <w:color w:val="auto"/>
              </w:rPr>
            </w:pPr>
          </w:p>
        </w:tc>
        <w:tc>
          <w:tcPr>
            <w:tcW w:w="2780" w:type="dxa"/>
            <w:vAlign w:val="bottom"/>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Stock</w:t>
            </w:r>
          </w:p>
        </w:tc>
        <w:tc>
          <w:tcPr>
            <w:tcW w:w="2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vMerge w:val="continue"/>
          </w:tcPr>
          <w:p>
            <w:pPr>
              <w:spacing w:after="0"/>
              <w:rPr>
                <w:sz w:val="11"/>
                <w:szCs w:val="11"/>
                <w:color w:val="auto"/>
              </w:rPr>
            </w:pPr>
          </w:p>
        </w:tc>
        <w:tc>
          <w:tcPr>
            <w:tcW w:w="256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Shares issued under the employee stock purchase plan</w:t>
            </w:r>
          </w:p>
        </w:tc>
        <w:tc>
          <w:tcPr>
            <w:tcW w:w="278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Shares issued under the employee stock gift program</w:t>
            </w:r>
          </w:p>
        </w:tc>
        <w:tc>
          <w:tcPr>
            <w:tcW w:w="3580" w:type="dxa"/>
            <w:vAlign w:val="bottom"/>
            <w:gridSpan w:val="2"/>
            <w:shd w:val="clear" w:color="auto" w:fill="CCEEFF"/>
          </w:tcPr>
          <w:p>
            <w:pPr>
              <w:jc w:val="center"/>
              <w:ind w:left="2690"/>
              <w:spacing w:after="0"/>
              <w:rPr>
                <w:sz w:val="20"/>
                <w:szCs w:val="20"/>
                <w:color w:val="auto"/>
              </w:rPr>
            </w:pPr>
            <w:r>
              <w:rPr>
                <w:rFonts w:ascii="Arial" w:cs="Arial" w:eastAsia="Arial" w:hAnsi="Arial"/>
                <w:sz w:val="18"/>
                <w:szCs w:val="18"/>
                <w:color w:val="auto"/>
                <w:w w:val="79"/>
              </w:rPr>
              <w:t>1</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w w:val="93"/>
              </w:rPr>
              <w:t>Shares issued under the director retainer stock program</w:t>
            </w:r>
          </w:p>
        </w:tc>
        <w:tc>
          <w:tcPr>
            <w:tcW w:w="3580" w:type="dxa"/>
            <w:vAlign w:val="bottom"/>
            <w:gridSpan w:val="2"/>
          </w:tcPr>
          <w:p>
            <w:pPr>
              <w:jc w:val="center"/>
              <w:ind w:left="2690"/>
              <w:spacing w:after="0"/>
              <w:rPr>
                <w:sz w:val="20"/>
                <w:szCs w:val="20"/>
                <w:color w:val="auto"/>
              </w:rPr>
            </w:pPr>
            <w:r>
              <w:rPr>
                <w:rFonts w:ascii="Arial" w:cs="Arial" w:eastAsia="Arial" w:hAnsi="Arial"/>
                <w:sz w:val="18"/>
                <w:szCs w:val="18"/>
                <w:color w:val="auto"/>
                <w:w w:val="79"/>
              </w:rPr>
              <w:t>3</w:t>
            </w:r>
          </w:p>
        </w:tc>
        <w:tc>
          <w:tcPr>
            <w:tcW w:w="2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67.77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Shares issued under the bonus plan</w:t>
            </w:r>
          </w:p>
        </w:tc>
        <w:tc>
          <w:tcPr>
            <w:tcW w:w="3580" w:type="dxa"/>
            <w:vAlign w:val="bottom"/>
            <w:gridSpan w:val="2"/>
            <w:shd w:val="clear" w:color="auto" w:fill="CCEEFF"/>
          </w:tcPr>
          <w:p>
            <w:pPr>
              <w:jc w:val="center"/>
              <w:ind w:left="2690"/>
              <w:spacing w:after="0"/>
              <w:rPr>
                <w:sz w:val="20"/>
                <w:szCs w:val="20"/>
                <w:color w:val="auto"/>
              </w:rPr>
            </w:pPr>
            <w:r>
              <w:rPr>
                <w:rFonts w:ascii="Arial" w:cs="Arial" w:eastAsia="Arial" w:hAnsi="Arial"/>
                <w:sz w:val="18"/>
                <w:szCs w:val="18"/>
                <w:color w:val="auto"/>
                <w:w w:val="93"/>
              </w:rPr>
              <w:t>468</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w w:val="88"/>
              </w:rPr>
              <w:t>Shares issued under the executive stock match grants plan</w:t>
            </w:r>
          </w:p>
        </w:tc>
        <w:tc>
          <w:tcPr>
            <w:tcW w:w="3580" w:type="dxa"/>
            <w:vAlign w:val="bottom"/>
            <w:gridSpan w:val="2"/>
          </w:tcPr>
          <w:p>
            <w:pPr>
              <w:jc w:val="center"/>
              <w:ind w:left="2670"/>
              <w:spacing w:after="0"/>
              <w:rPr>
                <w:sz w:val="20"/>
                <w:szCs w:val="20"/>
                <w:color w:val="auto"/>
              </w:rPr>
            </w:pPr>
            <w:r>
              <w:rPr>
                <w:rFonts w:ascii="Arial" w:cs="Arial" w:eastAsia="Arial" w:hAnsi="Arial"/>
                <w:sz w:val="18"/>
                <w:szCs w:val="18"/>
                <w:color w:val="auto"/>
                <w:w w:val="89"/>
              </w:rPr>
              <w:t>77</w:t>
            </w:r>
          </w:p>
        </w:tc>
        <w:tc>
          <w:tcPr>
            <w:tcW w:w="2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60.24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Forfeitures</w:t>
            </w:r>
          </w:p>
        </w:tc>
        <w:tc>
          <w:tcPr>
            <w:tcW w:w="3580" w:type="dxa"/>
            <w:vAlign w:val="bottom"/>
            <w:gridSpan w:val="2"/>
            <w:shd w:val="clear" w:color="auto" w:fill="CCEEFF"/>
          </w:tcPr>
          <w:p>
            <w:pPr>
              <w:jc w:val="center"/>
              <w:ind w:left="2670"/>
              <w:spacing w:after="0"/>
              <w:rPr>
                <w:sz w:val="20"/>
                <w:szCs w:val="20"/>
                <w:color w:val="auto"/>
              </w:rPr>
            </w:pPr>
            <w:r>
              <w:rPr>
                <w:rFonts w:ascii="Arial" w:cs="Arial" w:eastAsia="Arial" w:hAnsi="Arial"/>
                <w:sz w:val="18"/>
                <w:szCs w:val="18"/>
                <w:color w:val="auto"/>
                <w:w w:val="93"/>
              </w:rPr>
              <w:t>(18)</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Total shares issued under stock grant programs</w:t>
            </w:r>
          </w:p>
        </w:tc>
        <w:tc>
          <w:tcPr>
            <w:tcW w:w="2780" w:type="dxa"/>
            <w:vAlign w:val="bottom"/>
          </w:tcPr>
          <w:p>
            <w:pPr>
              <w:spacing w:after="0"/>
              <w:rPr>
                <w:sz w:val="18"/>
                <w:szCs w:val="18"/>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531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54.71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Shares issued under the deferred compensation plans</w:t>
            </w:r>
          </w:p>
        </w:tc>
        <w:tc>
          <w:tcPr>
            <w:tcW w:w="3580" w:type="dxa"/>
            <w:vAlign w:val="bottom"/>
            <w:gridSpan w:val="2"/>
          </w:tcPr>
          <w:p>
            <w:pPr>
              <w:jc w:val="center"/>
              <w:ind w:left="2670"/>
              <w:spacing w:after="0"/>
              <w:rPr>
                <w:sz w:val="20"/>
                <w:szCs w:val="20"/>
                <w:color w:val="auto"/>
              </w:rPr>
            </w:pPr>
            <w:r>
              <w:rPr>
                <w:rFonts w:ascii="Arial" w:cs="Arial" w:eastAsia="Arial" w:hAnsi="Arial"/>
                <w:sz w:val="18"/>
                <w:szCs w:val="18"/>
                <w:color w:val="auto"/>
                <w:w w:val="89"/>
              </w:rPr>
              <w:t>99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61.50</w:t>
            </w:r>
          </w:p>
        </w:tc>
        <w:tc>
          <w:tcPr>
            <w:tcW w:w="0" w:type="dxa"/>
            <w:vAlign w:val="bottom"/>
          </w:tcPr>
          <w:p>
            <w:pPr>
              <w:spacing w:after="0"/>
              <w:rPr>
                <w:sz w:val="1"/>
                <w:szCs w:val="1"/>
                <w:color w:val="auto"/>
              </w:rPr>
            </w:pPr>
          </w:p>
        </w:tc>
      </w:tr>
      <w:tr>
        <w:trPr>
          <w:trHeight w:val="850"/>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780" w:type="dxa"/>
            <w:vAlign w:val="bottom"/>
          </w:tcPr>
          <w:p>
            <w:pPr>
              <w:jc w:val="right"/>
              <w:ind w:right="2510"/>
              <w:spacing w:after="0"/>
              <w:rPr>
                <w:sz w:val="20"/>
                <w:szCs w:val="20"/>
                <w:color w:val="auto"/>
              </w:rPr>
            </w:pPr>
            <w:r>
              <w:rPr>
                <w:rFonts w:ascii="Arial" w:cs="Arial" w:eastAsia="Arial" w:hAnsi="Arial"/>
                <w:sz w:val="18"/>
                <w:szCs w:val="18"/>
                <w:color w:val="auto"/>
                <w:w w:val="79"/>
              </w:rPr>
              <w:t>16</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44"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74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June 27, 2020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Common</w:t>
            </w:r>
          </w:p>
        </w:tc>
        <w:tc>
          <w:tcPr>
            <w:tcW w:w="300" w:type="dxa"/>
            <w:vAlign w:val="bottom"/>
          </w:tcPr>
          <w:p>
            <w:pPr>
              <w:spacing w:after="0"/>
              <w:rPr>
                <w:sz w:val="10"/>
                <w:szCs w:val="10"/>
                <w:color w:val="auto"/>
              </w:rPr>
            </w:pP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Average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53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800" w:type="dxa"/>
            <w:vAlign w:val="bottom"/>
            <w:vMerge w:val="restart"/>
          </w:tcPr>
          <w:p>
            <w:pPr>
              <w:spacing w:after="0" w:line="192" w:lineRule="exact"/>
              <w:rPr>
                <w:sz w:val="20"/>
                <w:szCs w:val="20"/>
                <w:color w:val="auto"/>
              </w:rPr>
            </w:pPr>
            <w:r>
              <w:rPr>
                <w:rFonts w:ascii="Arial" w:cs="Arial" w:eastAsia="Arial" w:hAnsi="Arial"/>
                <w:sz w:val="18"/>
                <w:szCs w:val="18"/>
                <w:b w:val="1"/>
                <w:bCs w:val="1"/>
                <w:color w:val="auto"/>
                <w:w w:val="88"/>
              </w:rPr>
              <w:t>Share Issuance Activity</w:t>
            </w:r>
          </w:p>
        </w:tc>
        <w:tc>
          <w:tcPr>
            <w:tcW w:w="5340" w:type="dxa"/>
            <w:vAlign w:val="bottom"/>
          </w:tcPr>
          <w:p>
            <w:pPr>
              <w:spacing w:after="0"/>
              <w:rPr>
                <w:sz w:val="7"/>
                <w:szCs w:val="7"/>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Stock</w:t>
            </w:r>
          </w:p>
        </w:tc>
        <w:tc>
          <w:tcPr>
            <w:tcW w:w="3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00" w:type="dxa"/>
            <w:vAlign w:val="bottom"/>
            <w:tcBorders>
              <w:bottom w:val="single" w:sz="8" w:color="auto"/>
            </w:tcBorders>
            <w:vMerge w:val="continue"/>
          </w:tcPr>
          <w:p>
            <w:pPr>
              <w:spacing w:after="0"/>
              <w:rPr>
                <w:sz w:val="11"/>
                <w:szCs w:val="11"/>
                <w:color w:val="auto"/>
              </w:rPr>
            </w:pPr>
          </w:p>
        </w:tc>
        <w:tc>
          <w:tcPr>
            <w:tcW w:w="53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Shares issued under the employee stock purchase plan</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Shares issued under the employee stock gift program</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180"/>
              <w:spacing w:after="0"/>
              <w:rPr>
                <w:sz w:val="20"/>
                <w:szCs w:val="20"/>
                <w:color w:val="auto"/>
              </w:rPr>
            </w:pPr>
            <w:r>
              <w:rPr>
                <w:rFonts w:ascii="Arial" w:cs="Arial" w:eastAsia="Arial" w:hAnsi="Arial"/>
                <w:sz w:val="18"/>
                <w:szCs w:val="18"/>
                <w:color w:val="auto"/>
              </w:rPr>
              <w:t>Shares issued under the director retainer stock program</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30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3"/>
              </w:rPr>
              <w:t>24.20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Shares issued under the bonus plan</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271</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180"/>
              <w:spacing w:after="0"/>
              <w:rPr>
                <w:sz w:val="20"/>
                <w:szCs w:val="20"/>
                <w:color w:val="auto"/>
              </w:rPr>
            </w:pPr>
            <w:r>
              <w:rPr>
                <w:rFonts w:ascii="Arial" w:cs="Arial" w:eastAsia="Arial" w:hAnsi="Arial"/>
                <w:sz w:val="18"/>
                <w:szCs w:val="18"/>
                <w:color w:val="auto"/>
              </w:rPr>
              <w:t>Shares issued under the executive stock match grants plan</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79</w:t>
            </w:r>
          </w:p>
        </w:tc>
        <w:tc>
          <w:tcPr>
            <w:tcW w:w="30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3"/>
              </w:rPr>
              <w:t>47.60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Forfeitures</w:t>
            </w:r>
          </w:p>
        </w:tc>
        <w:tc>
          <w:tcPr>
            <w:tcW w:w="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60" w:type="dxa"/>
            <w:vAlign w:val="bottom"/>
            <w:gridSpan w:val="3"/>
          </w:tcPr>
          <w:p>
            <w:pPr>
              <w:ind w:left="20"/>
              <w:spacing w:after="0"/>
              <w:rPr>
                <w:sz w:val="20"/>
                <w:szCs w:val="20"/>
                <w:color w:val="auto"/>
              </w:rPr>
            </w:pPr>
            <w:r>
              <w:rPr>
                <w:rFonts w:ascii="Arial" w:cs="Arial" w:eastAsia="Arial" w:hAnsi="Arial"/>
                <w:sz w:val="18"/>
                <w:szCs w:val="18"/>
                <w:color w:val="auto"/>
              </w:rPr>
              <w:t>Total shares issued under stock grant programs</w:t>
            </w:r>
          </w:p>
        </w:tc>
        <w:tc>
          <w:tcPr>
            <w:tcW w:w="780" w:type="dxa"/>
            <w:vAlign w:val="bottom"/>
          </w:tcPr>
          <w:p>
            <w:pPr>
              <w:jc w:val="center"/>
              <w:spacing w:after="0"/>
              <w:rPr>
                <w:sz w:val="20"/>
                <w:szCs w:val="20"/>
                <w:color w:val="auto"/>
              </w:rPr>
            </w:pPr>
            <w:r>
              <w:rPr>
                <w:rFonts w:ascii="Arial" w:cs="Arial" w:eastAsia="Arial" w:hAnsi="Arial"/>
                <w:sz w:val="18"/>
                <w:szCs w:val="18"/>
                <w:color w:val="auto"/>
                <w:w w:val="86"/>
              </w:rPr>
              <w:t>393</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93"/>
              </w:rPr>
              <w:t>44.88</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60" w:type="dxa"/>
            <w:vAlign w:val="bottom"/>
            <w:gridSpan w:val="3"/>
          </w:tcPr>
          <w:p>
            <w:pPr>
              <w:ind w:left="20"/>
              <w:spacing w:after="0"/>
              <w:rPr>
                <w:sz w:val="20"/>
                <w:szCs w:val="20"/>
                <w:color w:val="auto"/>
              </w:rPr>
            </w:pPr>
            <w:r>
              <w:rPr>
                <w:rFonts w:ascii="Arial" w:cs="Arial" w:eastAsia="Arial" w:hAnsi="Arial"/>
                <w:sz w:val="18"/>
                <w:szCs w:val="18"/>
                <w:color w:val="auto"/>
              </w:rPr>
              <w:t>Shares issued under the deferred compensation plans</w:t>
            </w:r>
          </w:p>
        </w:tc>
        <w:tc>
          <w:tcPr>
            <w:tcW w:w="780" w:type="dxa"/>
            <w:vAlign w:val="bottom"/>
          </w:tcPr>
          <w:p>
            <w:pPr>
              <w:jc w:val="center"/>
              <w:spacing w:after="0"/>
              <w:rPr>
                <w:sz w:val="20"/>
                <w:szCs w:val="20"/>
                <w:color w:val="auto"/>
              </w:rPr>
            </w:pPr>
            <w:r>
              <w:rPr>
                <w:rFonts w:ascii="Arial" w:cs="Arial" w:eastAsia="Arial" w:hAnsi="Arial"/>
                <w:sz w:val="18"/>
                <w:szCs w:val="18"/>
                <w:color w:val="auto"/>
                <w:w w:val="86"/>
              </w:rPr>
              <w:t>103</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93"/>
              </w:rPr>
              <w:t>53.39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During the first six months of 2021, we did not repurchase any of our shares of common stock.</w:t>
      </w:r>
    </w:p>
    <w:p>
      <w:pPr>
        <w:spacing w:after="0" w:line="225" w:lineRule="exact"/>
        <w:rPr>
          <w:sz w:val="20"/>
          <w:szCs w:val="20"/>
          <w:color w:val="auto"/>
        </w:rPr>
      </w:pPr>
    </w:p>
    <w:p>
      <w:pPr>
        <w:ind w:left="60" w:right="559" w:firstLine="486"/>
        <w:spacing w:after="0" w:line="277" w:lineRule="auto"/>
        <w:rPr>
          <w:sz w:val="20"/>
          <w:szCs w:val="20"/>
          <w:color w:val="auto"/>
        </w:rPr>
      </w:pPr>
      <w:r>
        <w:rPr>
          <w:rFonts w:ascii="Arial" w:cs="Arial" w:eastAsia="Arial" w:hAnsi="Arial"/>
          <w:sz w:val="18"/>
          <w:szCs w:val="18"/>
          <w:color w:val="auto"/>
        </w:rPr>
        <w:t>During the first six months of 2020, we repurchased approximately 756,000 shares of our common stock at an average share price of $38.62.</w:t>
      </w:r>
    </w:p>
    <w:p>
      <w:pPr>
        <w:spacing w:after="0" w:line="166" w:lineRule="exact"/>
        <w:rPr>
          <w:sz w:val="20"/>
          <w:szCs w:val="20"/>
          <w:color w:val="auto"/>
        </w:rPr>
      </w:pPr>
    </w:p>
    <w:p>
      <w:pPr>
        <w:ind w:left="500" w:hanging="450"/>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ind w:left="60" w:right="259" w:firstLine="648"/>
        <w:spacing w:after="0" w:line="279" w:lineRule="auto"/>
        <w:rPr>
          <w:sz w:val="20"/>
          <w:szCs w:val="20"/>
          <w:color w:val="auto"/>
        </w:rPr>
      </w:pPr>
      <w:r>
        <w:rPr>
          <w:rFonts w:ascii="Arial" w:cs="Arial" w:eastAsia="Arial" w:hAnsi="Arial"/>
          <w:sz w:val="17"/>
          <w:szCs w:val="17"/>
          <w:color w:val="auto"/>
        </w:rPr>
        <w:t>Inventories are stated at the lower of cost or net realizable value. The cost of inventories includes raw materials, direct labor, and manufacturing overhead. Cost is determined on a weighted average FIFO basis. Raw materials consist primarily of unfinished wood products and other materials expected to be manufactured or treated prior to sale, while finished goods represent various manufactured and treated wood products ready for sale.</w:t>
      </w:r>
    </w:p>
    <w:p>
      <w:pPr>
        <w:spacing w:after="0" w:line="171"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The Company writes down the value of inventory, the impact of which is reflected in cost of goods sold in the Condensed Consolidated Statement of Earnings and Comprehensive Income, if the cost of specific inventory items on hand exceeds the amount the Company expects to realize from the ultimate sale or disposal of the inventory. These estimates are based on management's judgment regarding future demand and market conditions and analysis of historical experience. The lower of cost or net realizable value adjustment to inventory as of June 26, 2021 and June 27, 2020 was $23.2 million and $0, respectively.</w:t>
      </w:r>
    </w:p>
    <w:p>
      <w:pPr>
        <w:spacing w:after="0" w:line="188" w:lineRule="exact"/>
        <w:rPr>
          <w:sz w:val="20"/>
          <w:szCs w:val="20"/>
          <w:color w:val="auto"/>
        </w:rPr>
      </w:pPr>
    </w:p>
    <w:p>
      <w:pPr>
        <w:ind w:left="560" w:hanging="510"/>
        <w:spacing w:after="0"/>
        <w:tabs>
          <w:tab w:leader="none" w:pos="5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left="60" w:right="99" w:firstLine="648"/>
        <w:spacing w:after="0" w:line="277" w:lineRule="auto"/>
        <w:rPr>
          <w:sz w:val="20"/>
          <w:szCs w:val="20"/>
          <w:color w:val="auto"/>
        </w:rPr>
      </w:pPr>
      <w:r>
        <w:rPr>
          <w:rFonts w:ascii="Arial" w:cs="Arial" w:eastAsia="Arial" w:hAnsi="Arial"/>
          <w:sz w:val="18"/>
          <w:szCs w:val="18"/>
          <w:color w:val="auto"/>
        </w:rPr>
        <w:t>On June 30, 2021, UFP Real Estate, LLC closed on the sale of real property owned and located in Fernley, NV for proceeds of $13.4 million and recognized a gain of $6.7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UFP Industries, Inc. is a holding company with subsidiaries throughout North America, Europe, Asia, and Australia that supply wood, wood composite and other products to three markets: retail, industrial, and construction. We are headquartered in Grand Rapids, Michigan. For more information about UFP Industries, Inc., or our affiliated operations, go to www.ufpi.com.</w:t>
      </w:r>
    </w:p>
    <w:p>
      <w:pPr>
        <w:spacing w:after="0" w:line="187"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This report contains forward-looking statements within the meaning of Section 21E of the Securities Exchange Act, as amended, that are based on management’s beliefs, assumptions, current expectations, estimates and projections about the markets we serve, the economy and the Company itself. Words like “anticipates,” “believes,” “confident,” “estimates,” “expects,” “forecasts,” “likely,” “plans,” “projects,” “should,” variations of such words, and similar expressions identify such forward-looking statements. These statements do not guarantee future performance and involve certain risks, uncertainties and assumptions that are difficult to predict with regard to timing, extent, likelihood and degree of occurrence. The Company does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fluctuations in the price of lumber; adverse or unusual weather conditions; adverse economic conditions in the markets we serve; government regulations, particularly involving environmental and safety regulations, government imposed “stay at home” orders and directives to cease or curtail operations; and our ability to make successful business acquisitions. Certain of these risk factors as well as other risk factors and additional information are included in the Company's reports on Form 10-K and 10-Q on file with the Securities and Exchange Commission. We are pleased to present this overview of the second quarter of 2021.</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results for the second quarter of 2021 include the following highlights:</w:t>
      </w:r>
    </w:p>
    <w:p>
      <w:pPr>
        <w:spacing w:after="0" w:line="225" w:lineRule="exact"/>
        <w:rPr>
          <w:sz w:val="20"/>
          <w:szCs w:val="20"/>
          <w:color w:val="auto"/>
        </w:rPr>
      </w:pPr>
    </w:p>
    <w:p>
      <w:pPr>
        <w:jc w:val="both"/>
        <w:ind w:left="880" w:right="79" w:hanging="317"/>
        <w:spacing w:after="0" w:line="296" w:lineRule="auto"/>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net sales were up 117% compared to the second quarter of 2020, which was comprised of a 70% increase in selling prices primarily due to the commodity lumber market (see Historical Lumber Prices below), an 11% increase in organic unit sales, and a 36% increase in unit sales due to acquisitions completed since June of last year. Organic unit growth was driven by a 26% increase in each of our industrial and construction segments and offset by a decline in organic unit sales of 4% in our retail segment.</w:t>
      </w:r>
    </w:p>
    <w:p>
      <w:pPr>
        <w:spacing w:after="0" w:line="161" w:lineRule="exact"/>
        <w:rPr>
          <w:rFonts w:ascii="Arial" w:cs="Arial" w:eastAsia="Arial" w:hAnsi="Arial"/>
          <w:sz w:val="16"/>
          <w:szCs w:val="16"/>
          <w:color w:val="auto"/>
        </w:rPr>
      </w:pPr>
    </w:p>
    <w:p>
      <w:pPr>
        <w:jc w:val="both"/>
        <w:ind w:left="880" w:right="79" w:hanging="317"/>
        <w:spacing w:after="0" w:line="286" w:lineRule="auto"/>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operating profits increased $144.6 million, or 157%, compared to the second quarter of 2020. Acquisitions contributed approximately $29.6 million to our increase in gross profits and $14.7 million to our increase in operating profits. These increases resulted from a variety of factors including strong unit sales growth and leveraging fixed costs, increased sales of value-added and new products that have higher margins, and more effectively adjusting for increases in lumber and other costs in our selling prices. These favorable factors more than offset the impact of falling lumber prices on products we sell with a variable price, primarily our pressure-treated lumber products in the retail segment, which resulted in a lower of cost or net realizable value reserve of $23.2 million recorded to inventory and cost of goods sold at the end of June 2021. If lumber prices continue to fall and normalize in the third quarter of 2021, it will continue to impact our gross profits of commodity-based products sold on a variable price that were not purchased through a vendor managed inventory program. We anticipate that this will be more than offset by the benefit we experience on value-added products sold on a fixed price, primarily in our Industrial and Construction segments. Excluding the impact of acquisitions, we estimate value-added and commodity-based products contributed $103 million and $84 million, respectively, to our quarter over quarter increase in gross profits.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880" w:right="79" w:hanging="317"/>
        <w:spacing w:after="0" w:line="254"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cash flows used in operations for the first six months of 2021 was $116 million compared to cash flows provided by operations of $147 million during the first six months of 2020, primarily as a result of an increased investment in working capital of $444 million compared to the prior year, specifically due to increases in inventory and accounts receivable balances. The increase in our net working capital requirements during the second quarter of 2021 was due to unusually high lumber prices and strong market demand across all of our segments. We expect that lumber prices and demand will normalize in the last six months of 2021. Consequently, we anticipate this increased investment in net working capital will decline and be converted into cash during the balance of the year.</w:t>
      </w:r>
    </w:p>
    <w:p>
      <w:pPr>
        <w:spacing w:after="0" w:line="191" w:lineRule="exact"/>
        <w:rPr>
          <w:rFonts w:ascii="Arial" w:cs="Arial" w:eastAsia="Arial" w:hAnsi="Arial"/>
          <w:sz w:val="18"/>
          <w:szCs w:val="18"/>
          <w:color w:val="auto"/>
        </w:rPr>
      </w:pPr>
    </w:p>
    <w:p>
      <w:pPr>
        <w:jc w:val="both"/>
        <w:ind w:left="880" w:right="79" w:hanging="317"/>
        <w:spacing w:after="0" w:line="293" w:lineRule="auto"/>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net debt (debt and cash overdraft less cash) at the end of June 2021 was $562 million compared to net cash of $37 million at the end of June 2020. The increase of nearly $600 million was due to an increased investment in working capital and acquisitions completed during the first half of the year, including PalletOne, J.C. Gilmore, Spartanburg, Endurable, and Walnut Hollow discussed in Footnote F to the condensed consolidated financial statements. Our unused borrowing capacity under revolving credit facilities and cash surplus resulted in total liquidity of approximately $288 million at the end of the second quarter of 2021.</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HISTORICAL LUMBER PRICES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We experience significant fluctuations in the cost of commodity lumber products from primary producers (“Lumber</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Market”). The following table presents the Random Lengths framing lumber composite price:</w:t>
      </w:r>
    </w:p>
    <w:p>
      <w:pPr>
        <w:spacing w:after="0" w:line="216"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Random Lengths Composite</w:t>
      </w:r>
    </w:p>
    <w:p>
      <w:pPr>
        <w:jc w:val="center"/>
        <w:ind w:left="6680"/>
        <w:spacing w:after="0" w:line="236" w:lineRule="auto"/>
        <w:rPr>
          <w:sz w:val="20"/>
          <w:szCs w:val="20"/>
          <w:color w:val="auto"/>
        </w:rPr>
      </w:pPr>
      <w:r>
        <w:rPr>
          <w:rFonts w:ascii="Arial" w:cs="Arial" w:eastAsia="Arial" w:hAnsi="Arial"/>
          <w:sz w:val="14"/>
          <w:szCs w:val="14"/>
          <w:b w:val="1"/>
          <w:bCs w:val="1"/>
          <w:color w:val="auto"/>
        </w:rPr>
        <w:t>Average $/MBF</w:t>
      </w:r>
    </w:p>
    <w:tbl>
      <w:tblPr>
        <w:tblLayout w:type="fixed"/>
        <w:tblInd w:w="6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4240" w:type="dxa"/>
            <w:vAlign w:val="bottom"/>
            <w:tcBorders>
              <w:bottom w:val="single" w:sz="8" w:color="CCEEFF"/>
            </w:tcBorders>
          </w:tcPr>
          <w:p>
            <w:pPr>
              <w:spacing w:after="0"/>
              <w:rPr>
                <w:sz w:val="14"/>
                <w:szCs w:val="14"/>
                <w:color w:val="auto"/>
              </w:rPr>
            </w:pPr>
          </w:p>
        </w:tc>
        <w:tc>
          <w:tcPr>
            <w:tcW w:w="260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January</w:t>
            </w:r>
          </w:p>
        </w:tc>
        <w:tc>
          <w:tcPr>
            <w:tcW w:w="26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February</w:t>
            </w: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March</w:t>
            </w:r>
          </w:p>
        </w:tc>
        <w:tc>
          <w:tcPr>
            <w:tcW w:w="2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April</w:t>
            </w: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May</w:t>
            </w:r>
          </w:p>
        </w:tc>
        <w:tc>
          <w:tcPr>
            <w:tcW w:w="2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June</w:t>
            </w: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1,344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Second quarter average</w:t>
            </w:r>
          </w:p>
        </w:tc>
        <w:tc>
          <w:tcPr>
            <w:tcW w:w="27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1,284</w:t>
            </w:r>
          </w:p>
        </w:tc>
        <w:tc>
          <w:tcPr>
            <w:tcW w:w="4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Year-to-date average</w:t>
            </w:r>
          </w:p>
        </w:tc>
        <w:tc>
          <w:tcPr>
            <w:tcW w:w="27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4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percentage change</w:t>
            </w:r>
          </w:p>
        </w:tc>
        <w:tc>
          <w:tcPr>
            <w:tcW w:w="4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124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r>
      <w:tr>
        <w:trPr>
          <w:trHeight w:val="230"/>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Year-to-date percentage change</w:t>
            </w:r>
          </w:p>
        </w:tc>
        <w:tc>
          <w:tcPr>
            <w:tcW w:w="4260" w:type="dxa"/>
            <w:vAlign w:val="bottom"/>
          </w:tcPr>
          <w:p>
            <w:pPr>
              <w:jc w:val="right"/>
              <w:spacing w:after="0"/>
              <w:rPr>
                <w:sz w:val="20"/>
                <w:szCs w:val="20"/>
                <w:color w:val="auto"/>
              </w:rPr>
            </w:pPr>
            <w:r>
              <w:rPr>
                <w:rFonts w:ascii="Arial" w:cs="Arial" w:eastAsia="Arial" w:hAnsi="Arial"/>
                <w:sz w:val="18"/>
                <w:szCs w:val="18"/>
                <w:color w:val="auto"/>
              </w:rPr>
              <w:t>179.8</w:t>
            </w:r>
          </w:p>
        </w:tc>
        <w:tc>
          <w:tcPr>
            <w:tcW w:w="1240" w:type="dxa"/>
            <w:vAlign w:val="bottom"/>
          </w:tcPr>
          <w:p>
            <w:pPr>
              <w:jc w:val="right"/>
              <w:ind w:right="970"/>
              <w:spacing w:after="0"/>
              <w:rPr>
                <w:sz w:val="20"/>
                <w:szCs w:val="20"/>
                <w:color w:val="auto"/>
              </w:rPr>
            </w:pPr>
            <w:r>
              <w:rPr>
                <w:rFonts w:ascii="Arial" w:cs="Arial" w:eastAsia="Arial" w:hAnsi="Arial"/>
                <w:sz w:val="18"/>
                <w:szCs w:val="18"/>
                <w:color w:val="auto"/>
                <w:w w:val="99"/>
              </w:rPr>
              <w:t>%</w:t>
            </w:r>
          </w:p>
        </w:tc>
      </w:tr>
      <w:tr>
        <w:trPr>
          <w:trHeight w:val="850"/>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260" w:type="dxa"/>
            <w:vAlign w:val="bottom"/>
          </w:tcPr>
          <w:p>
            <w:pPr>
              <w:jc w:val="right"/>
              <w:ind w:right="3030"/>
              <w:spacing w:after="0"/>
              <w:rPr>
                <w:sz w:val="20"/>
                <w:szCs w:val="20"/>
                <w:color w:val="auto"/>
              </w:rPr>
            </w:pPr>
            <w:r>
              <w:rPr>
                <w:rFonts w:ascii="Arial" w:cs="Arial" w:eastAsia="Arial" w:hAnsi="Arial"/>
                <w:sz w:val="18"/>
                <w:szCs w:val="18"/>
                <w:color w:val="auto"/>
              </w:rPr>
              <w:t>19</w:t>
            </w:r>
          </w:p>
        </w:tc>
        <w:tc>
          <w:tcPr>
            <w:tcW w:w="124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4"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In addition, a Southern Yellow Pine (“SYP”) composite price, which we prepare and use, is presented below. Our purchases of this species comprise almost two-thirds of our total lumber purchases.</w:t>
      </w:r>
    </w:p>
    <w:p>
      <w:pPr>
        <w:spacing w:after="0" w:line="175"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Random Lengths SYP</w:t>
      </w:r>
    </w:p>
    <w:p>
      <w:pPr>
        <w:jc w:val="center"/>
        <w:ind w:left="6680"/>
        <w:spacing w:after="0" w:line="236" w:lineRule="auto"/>
        <w:rPr>
          <w:sz w:val="20"/>
          <w:szCs w:val="20"/>
          <w:color w:val="auto"/>
        </w:rPr>
      </w:pPr>
      <w:r>
        <w:rPr>
          <w:rFonts w:ascii="Arial" w:cs="Arial" w:eastAsia="Arial" w:hAnsi="Arial"/>
          <w:sz w:val="14"/>
          <w:szCs w:val="14"/>
          <w:b w:val="1"/>
          <w:bCs w:val="1"/>
          <w:color w:val="auto"/>
        </w:rPr>
        <w:t>Average $/MBF</w:t>
      </w:r>
    </w:p>
    <w:tbl>
      <w:tblPr>
        <w:tblLayout w:type="fixed"/>
        <w:tblInd w:w="40" w:type="dxa"/>
        <w:tblCellMar>
          <w:top w:w="0" w:type="dxa"/>
          <w:left w:w="0" w:type="dxa"/>
          <w:bottom w:w="0" w:type="dxa"/>
          <w:right w:w="0" w:type="dxa"/>
        </w:tblCellMar>
      </w:tblPr>
      <w:tr>
        <w:trPr>
          <w:trHeight w:val="163"/>
        </w:trPr>
        <w:tc>
          <w:tcPr>
            <w:tcW w:w="688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80" w:type="dxa"/>
            <w:vAlign w:val="bottom"/>
            <w:shd w:val="clear" w:color="auto" w:fill="CCEEFF"/>
          </w:tcPr>
          <w:p>
            <w:pPr>
              <w:spacing w:after="0"/>
              <w:rPr>
                <w:sz w:val="18"/>
                <w:szCs w:val="18"/>
                <w:color w:val="auto"/>
              </w:rPr>
            </w:pPr>
          </w:p>
        </w:tc>
      </w:tr>
      <w:tr>
        <w:trPr>
          <w:trHeight w:val="216"/>
        </w:trPr>
        <w:tc>
          <w:tcPr>
            <w:tcW w:w="6880" w:type="dxa"/>
            <w:vAlign w:val="bottom"/>
          </w:tcPr>
          <w:p>
            <w:pPr>
              <w:ind w:left="20"/>
              <w:spacing w:after="0"/>
              <w:rPr>
                <w:sz w:val="20"/>
                <w:szCs w:val="20"/>
                <w:color w:val="auto"/>
              </w:rPr>
            </w:pPr>
            <w:r>
              <w:rPr>
                <w:rFonts w:ascii="Arial" w:cs="Arial" w:eastAsia="Arial" w:hAnsi="Arial"/>
                <w:sz w:val="18"/>
                <w:szCs w:val="18"/>
                <w:color w:val="auto"/>
              </w:rPr>
              <w:t>February</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345</w:t>
            </w:r>
          </w:p>
        </w:tc>
        <w:tc>
          <w:tcPr>
            <w:tcW w:w="180" w:type="dxa"/>
            <w:vAlign w:val="bottom"/>
          </w:tcPr>
          <w:p>
            <w:pPr>
              <w:spacing w:after="0"/>
              <w:rPr>
                <w:sz w:val="18"/>
                <w:szCs w:val="18"/>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80" w:type="dxa"/>
            <w:vAlign w:val="bottom"/>
            <w:shd w:val="clear" w:color="auto" w:fill="CCEEFF"/>
          </w:tcPr>
          <w:p>
            <w:pPr>
              <w:spacing w:after="0"/>
              <w:rPr>
                <w:sz w:val="18"/>
                <w:szCs w:val="18"/>
                <w:color w:val="auto"/>
              </w:rPr>
            </w:pPr>
          </w:p>
        </w:tc>
      </w:tr>
      <w:tr>
        <w:trPr>
          <w:trHeight w:val="216"/>
        </w:trPr>
        <w:tc>
          <w:tcPr>
            <w:tcW w:w="6880" w:type="dxa"/>
            <w:vAlign w:val="bottom"/>
          </w:tcPr>
          <w:p>
            <w:pPr>
              <w:ind w:left="20"/>
              <w:spacing w:after="0"/>
              <w:rPr>
                <w:sz w:val="20"/>
                <w:szCs w:val="20"/>
                <w:color w:val="auto"/>
              </w:rPr>
            </w:pPr>
            <w:r>
              <w:rPr>
                <w:rFonts w:ascii="Arial" w:cs="Arial" w:eastAsia="Arial" w:hAnsi="Arial"/>
                <w:sz w:val="18"/>
                <w:szCs w:val="18"/>
                <w:color w:val="auto"/>
              </w:rPr>
              <w:t>April</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333</w:t>
            </w:r>
          </w:p>
        </w:tc>
        <w:tc>
          <w:tcPr>
            <w:tcW w:w="180" w:type="dxa"/>
            <w:vAlign w:val="bottom"/>
          </w:tcPr>
          <w:p>
            <w:pPr>
              <w:spacing w:after="0"/>
              <w:rPr>
                <w:sz w:val="18"/>
                <w:szCs w:val="18"/>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80" w:type="dxa"/>
            <w:vAlign w:val="bottom"/>
            <w:shd w:val="clear" w:color="auto" w:fill="CCEEFF"/>
          </w:tcPr>
          <w:p>
            <w:pPr>
              <w:spacing w:after="0"/>
              <w:rPr>
                <w:sz w:val="18"/>
                <w:szCs w:val="18"/>
                <w:color w:val="auto"/>
              </w:rPr>
            </w:pPr>
          </w:p>
        </w:tc>
      </w:tr>
      <w:tr>
        <w:trPr>
          <w:trHeight w:val="216"/>
        </w:trPr>
        <w:tc>
          <w:tcPr>
            <w:tcW w:w="6880" w:type="dxa"/>
            <w:vAlign w:val="bottom"/>
          </w:tcPr>
          <w:p>
            <w:pPr>
              <w:ind w:left="20"/>
              <w:spacing w:after="0"/>
              <w:rPr>
                <w:sz w:val="20"/>
                <w:szCs w:val="20"/>
                <w:color w:val="auto"/>
              </w:rPr>
            </w:pPr>
            <w:r>
              <w:rPr>
                <w:rFonts w:ascii="Arial" w:cs="Arial" w:eastAsia="Arial" w:hAnsi="Arial"/>
                <w:sz w:val="18"/>
                <w:szCs w:val="18"/>
                <w:color w:val="auto"/>
              </w:rPr>
              <w:t>June</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1,052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494</w:t>
            </w:r>
          </w:p>
        </w:tc>
        <w:tc>
          <w:tcPr>
            <w:tcW w:w="18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880" w:type="dxa"/>
            <w:vAlign w:val="bottom"/>
          </w:tcPr>
          <w:p>
            <w:pPr>
              <w:ind w:left="20"/>
              <w:spacing w:after="0"/>
              <w:rPr>
                <w:sz w:val="20"/>
                <w:szCs w:val="20"/>
                <w:color w:val="auto"/>
              </w:rPr>
            </w:pPr>
            <w:r>
              <w:rPr>
                <w:rFonts w:ascii="Arial" w:cs="Arial" w:eastAsia="Arial" w:hAnsi="Arial"/>
                <w:sz w:val="18"/>
                <w:szCs w:val="18"/>
                <w:color w:val="auto"/>
              </w:rPr>
              <w:t>Second quarter average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1,041</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413</w:t>
            </w:r>
          </w:p>
        </w:tc>
        <w:tc>
          <w:tcPr>
            <w:tcW w:w="180" w:type="dxa"/>
            <w:vAlign w:val="bottom"/>
          </w:tcPr>
          <w:p>
            <w:pPr>
              <w:spacing w:after="0"/>
              <w:rPr>
                <w:sz w:val="18"/>
                <w:szCs w:val="18"/>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Year-to-date average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8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Second quarter percentage change</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30"/>
        </w:trPr>
        <w:tc>
          <w:tcPr>
            <w:tcW w:w="6880" w:type="dxa"/>
            <w:vAlign w:val="bottom"/>
          </w:tcPr>
          <w:p>
            <w:pPr>
              <w:ind w:left="20"/>
              <w:spacing w:after="0"/>
              <w:rPr>
                <w:sz w:val="20"/>
                <w:szCs w:val="20"/>
                <w:color w:val="auto"/>
              </w:rPr>
            </w:pPr>
            <w:r>
              <w:rPr>
                <w:rFonts w:ascii="Arial" w:cs="Arial" w:eastAsia="Arial" w:hAnsi="Arial"/>
                <w:sz w:val="18"/>
                <w:szCs w:val="18"/>
                <w:color w:val="auto"/>
              </w:rPr>
              <w:t>Year-to-date percentage change</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154.2</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87"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 sequential increase in overall lumber prices for the quarter above is primarily due to the continuation of strong market demand as well as certain constraints in the supply chain of lumber. Prices began to fall at the end of June 2021 and we anticipate that lumber prices will continue to fall and normalize during the last six months of this year as these constraints on supply improve and demand in the retail market returns to more normal levels. A sequential decline in lumber prices would impact our profitability of products sold with fixed and variable prices, as discussed below.</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IMPACT OF THE LUMBER MARKET ON OUR OPERATING RESULTS</w:t>
      </w:r>
    </w:p>
    <w:p>
      <w:pPr>
        <w:spacing w:after="0" w:line="22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We generally price our products to pass lumber costs through to our customers so that our profitability is based on the value-added manufacturing, distribution, engineering, and other services we provide. As a result, our sales levels (and working capital requirements) are impacted by the lumber costs of our products. Lumber costs were 63.7% and 44.1% of our sales in the first six months of 2021 and 2020, respectively. The increase from the prior year ratio reflects the impact of higher lumber prices and the results of PalletOne’s subsidiaries Sunbelt and Spartanburg Forest Products.</w:t>
      </w:r>
    </w:p>
    <w:p>
      <w:pPr>
        <w:spacing w:after="0" w:line="1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Our gross margins are impacted by (1) the relative level of the Lumber Market (i.e. whether prices are higher or lower from comparative periods), and (2) the trend in the market price of lumber (i.e. whether the price of lumber is increasing or decreasing within a period or from period to period). Moreover, as explained below, our products are priced differently. Some of our products have fixed selling prices, while the selling prices of other products are indexed to the reported Lumber Market with a fixed dollar adder to cover conversion costs and profits. Consequently, the level and trend of the Lumber Market impact our products differently.</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color w:val="auto"/>
        </w:rPr>
        <w:t>Below is a general description of the primary ways in which our products are priced.</w:t>
      </w:r>
    </w:p>
    <w:p>
      <w:pPr>
        <w:spacing w:after="0" w:line="225" w:lineRule="exact"/>
        <w:rPr>
          <w:sz w:val="20"/>
          <w:szCs w:val="20"/>
          <w:color w:val="auto"/>
        </w:rPr>
      </w:pPr>
    </w:p>
    <w:p>
      <w:pPr>
        <w:jc w:val="both"/>
        <w:ind w:left="880" w:right="79" w:hanging="317"/>
        <w:spacing w:after="0" w:line="272" w:lineRule="auto"/>
        <w:tabs>
          <w:tab w:leader="none" w:pos="880"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Products with fixed selling prices.</w:t>
      </w:r>
      <w:r>
        <w:rPr>
          <w:rFonts w:ascii="Arial" w:cs="Arial" w:eastAsia="Arial" w:hAnsi="Arial"/>
          <w:sz w:val="17"/>
          <w:szCs w:val="17"/>
          <w:color w:val="auto"/>
        </w:rPr>
        <w:t xml:space="preserve"> These products include value-added products, such as manufactured items, sold within all segments. Prices for these products are generally fixed at the time of the sales quotation for a specified period of time. In order to reduce any exposure to adverse trends in the price of component lumber products, we attempt to lock in costs with our suppliers or purchase necessary inventory for these sales commitments. The time period limitation eventually allows us to periodically re-price our products for changes in lumber costs from our suppliers. We believe our percentage of sales of fixed price items is usually greatest in our third and fourth quarters.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880" w:right="79" w:hanging="317"/>
        <w:spacing w:after="0" w:line="272" w:lineRule="auto"/>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Products with selling prices indexed to the reported Lumber Market with a fixed dollar “adder” to cover conversion costs and profit.</w:t>
      </w:r>
      <w:r>
        <w:rPr>
          <w:rFonts w:ascii="Arial" w:cs="Arial" w:eastAsia="Arial" w:hAnsi="Arial"/>
          <w:sz w:val="17"/>
          <w:szCs w:val="17"/>
          <w:color w:val="auto"/>
        </w:rPr>
        <w:t xml:space="preserve"> These products primarily include treated lumber, panel goods, other commodity-type items, and trusses sold to the manufactured housing industry. For these products, we estimate the customers’ needs and we carry anticipated levels of inventory. Because lumber costs are incurred in advance of final sale prices, subsequent increases or decreases in the market price of lumber impact our gross margins. We believe our sales of these products are at their highest relative level in our second quarter, primarily due to pressure-treated lumber sold in our retail segment.</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For each of the product pricing categories above, our margins are exposed to changes in the trend of lumber prices.</w:t>
      </w: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The greatest risk associated with changes in the </w:t>
      </w:r>
      <w:r>
        <w:rPr>
          <w:rFonts w:ascii="Arial" w:cs="Arial" w:eastAsia="Arial" w:hAnsi="Arial"/>
          <w:sz w:val="18"/>
          <w:szCs w:val="18"/>
          <w:u w:val="single" w:color="auto"/>
          <w:color w:val="auto"/>
        </w:rPr>
        <w:t>trend</w:t>
      </w:r>
      <w:r>
        <w:rPr>
          <w:rFonts w:ascii="Arial" w:cs="Arial" w:eastAsia="Arial" w:hAnsi="Arial"/>
          <w:sz w:val="18"/>
          <w:szCs w:val="18"/>
          <w:color w:val="auto"/>
        </w:rPr>
        <w:t xml:space="preserve"> of lumber prices is on the following products:</w:t>
      </w:r>
    </w:p>
    <w:p>
      <w:pPr>
        <w:spacing w:after="0" w:line="225" w:lineRule="exact"/>
        <w:rPr>
          <w:sz w:val="20"/>
          <w:szCs w:val="20"/>
          <w:color w:val="auto"/>
        </w:rPr>
      </w:pPr>
    </w:p>
    <w:p>
      <w:pPr>
        <w:jc w:val="both"/>
        <w:ind w:left="880" w:right="79" w:hanging="317"/>
        <w:spacing w:after="0" w:line="268" w:lineRule="auto"/>
        <w:tabs>
          <w:tab w:leader="none" w:pos="880"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Products with significant inventory levels with low turnover rates, whose selling prices are indexed to the Lumber Market.</w:t>
      </w:r>
      <w:r>
        <w:rPr>
          <w:rFonts w:ascii="Arial" w:cs="Arial" w:eastAsia="Arial" w:hAnsi="Arial"/>
          <w:sz w:val="17"/>
          <w:szCs w:val="17"/>
          <w:color w:val="auto"/>
        </w:rPr>
        <w:t xml:space="preserve"> In other words, the longer the period of time these products remain in inventory, the greater the exposure to changes in the price of lumber. This would include treated lumber, which comprised approximately 20% of our total annual sales in 2020. This exposure is less significant with remanufactured lumber, panel goods, other commodity-type items, and trusses sold to the manufactured housing market due to the higher rate of inventory turnover. We attempt to mitigate the risk associated with treated lumber through inventory consignment programs with our vendors. Our annual purchases of inventory through these consignment programs totaled approximately 19% of our total lumber purchases in 2020. Our new Sunbelt and Spartanburg Forest Products plants operated with limited amounts of vendor consignment inventory and were more exposed to the impact of falling lumber prices during the end of the second quarter of 2021. We anticipate increasing their use of these programs in future periods in a manner consistent with our ProWood pressure-treating operations. (</w:t>
      </w:r>
      <w:r>
        <w:rPr>
          <w:rFonts w:ascii="Arial" w:cs="Arial" w:eastAsia="Arial" w:hAnsi="Arial"/>
          <w:sz w:val="17"/>
          <w:szCs w:val="17"/>
          <w:i w:val="1"/>
          <w:iCs w:val="1"/>
          <w:color w:val="auto"/>
        </w:rPr>
        <w:t>Please refer to the “Risk Factors” section of our annual report on form 10-K,</w:t>
      </w:r>
      <w:r>
        <w:rPr>
          <w:rFonts w:ascii="Arial" w:cs="Arial" w:eastAsia="Arial" w:hAnsi="Arial"/>
          <w:sz w:val="17"/>
          <w:szCs w:val="17"/>
          <w:color w:val="auto"/>
        </w:rPr>
        <w:t xml:space="preserve"> </w:t>
      </w:r>
      <w:r>
        <w:rPr>
          <w:rFonts w:ascii="Arial" w:cs="Arial" w:eastAsia="Arial" w:hAnsi="Arial"/>
          <w:sz w:val="17"/>
          <w:szCs w:val="17"/>
          <w:i w:val="1"/>
          <w:iCs w:val="1"/>
          <w:color w:val="auto"/>
        </w:rPr>
        <w:t>filed with the United States Securities and Exchange Commission.</w:t>
      </w:r>
      <w:r>
        <w:rPr>
          <w:rFonts w:ascii="Arial" w:cs="Arial" w:eastAsia="Arial" w:hAnsi="Arial"/>
          <w:sz w:val="17"/>
          <w:szCs w:val="17"/>
          <w:color w:val="auto"/>
        </w:rPr>
        <w:t>)</w:t>
      </w:r>
    </w:p>
    <w:p>
      <w:pPr>
        <w:spacing w:after="0" w:line="186" w:lineRule="exact"/>
        <w:rPr>
          <w:rFonts w:ascii="Arial" w:cs="Arial" w:eastAsia="Arial" w:hAnsi="Arial"/>
          <w:sz w:val="17"/>
          <w:szCs w:val="17"/>
          <w:color w:val="auto"/>
        </w:rPr>
      </w:pPr>
    </w:p>
    <w:p>
      <w:pPr>
        <w:jc w:val="both"/>
        <w:ind w:left="880" w:right="79" w:hanging="317"/>
        <w:spacing w:after="0" w:line="263"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Products with fixed selling prices sold under long-term supply arrangements, particularly those involving multi-family construction projects.</w:t>
      </w:r>
      <w:r>
        <w:rPr>
          <w:rFonts w:ascii="Arial" w:cs="Arial" w:eastAsia="Arial" w:hAnsi="Arial"/>
          <w:sz w:val="18"/>
          <w:szCs w:val="18"/>
          <w:color w:val="auto"/>
        </w:rPr>
        <w:t xml:space="preserve"> We attempt to mitigate this risk through our purchasing practices and longer vendor commitments.</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addition to the impact of the Lumber Market trends on gross margins, changes in the level of the market cause fluctuations in gross margins when comparing operating results from period to period. This is explained in the following example, which assumes the price of lumber has increased from period one to period two, with no changes in the trend within each period.</w:t>
      </w:r>
    </w:p>
    <w:p>
      <w:pPr>
        <w:spacing w:after="0" w:line="192" w:lineRule="exact"/>
        <w:rPr>
          <w:sz w:val="20"/>
          <w:szCs w:val="20"/>
          <w:color w:val="auto"/>
        </w:rPr>
      </w:pPr>
    </w:p>
    <w:tbl>
      <w:tblPr>
        <w:tblLayout w:type="fixed"/>
        <w:tblInd w:w="60" w:type="dxa"/>
        <w:tblCellMar>
          <w:top w:w="0" w:type="dxa"/>
          <w:left w:w="0" w:type="dxa"/>
          <w:bottom w:w="0" w:type="dxa"/>
          <w:right w:w="0" w:type="dxa"/>
        </w:tblCellMar>
      </w:tblPr>
      <w:tr>
        <w:trPr>
          <w:trHeight w:val="178"/>
        </w:trPr>
        <w:tc>
          <w:tcPr>
            <w:tcW w:w="40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Period 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Period 2</w:t>
            </w:r>
          </w:p>
        </w:tc>
      </w:tr>
      <w:tr>
        <w:trPr>
          <w:trHeight w:val="216"/>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Lumber cost</w:t>
            </w:r>
          </w:p>
        </w:tc>
        <w:tc>
          <w:tcPr>
            <w:tcW w:w="2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Borders>
              <w:top w:val="single" w:sz="8" w:color="CCEEFF"/>
            </w:tcBorders>
            <w:shd w:val="clear" w:color="auto" w:fill="CCEEFF"/>
          </w:tcPr>
          <w:p>
            <w:pPr>
              <w:spacing w:after="0"/>
              <w:rPr>
                <w:sz w:val="18"/>
                <w:szCs w:val="18"/>
                <w:color w:val="auto"/>
              </w:rPr>
            </w:pPr>
          </w:p>
        </w:tc>
      </w:tr>
      <w:tr>
        <w:trPr>
          <w:trHeight w:val="223"/>
        </w:trPr>
        <w:tc>
          <w:tcPr>
            <w:tcW w:w="4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Conversion cost</w:t>
            </w:r>
          </w:p>
        </w:tc>
        <w:tc>
          <w:tcPr>
            <w:tcW w:w="28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tcPr>
          <w:p>
            <w:pPr>
              <w:spacing w:after="0"/>
              <w:rPr>
                <w:sz w:val="19"/>
                <w:szCs w:val="19"/>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 Product cost</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00" w:type="dxa"/>
            <w:vAlign w:val="bottom"/>
            <w:shd w:val="clear" w:color="auto" w:fill="CCEEFF"/>
          </w:tcPr>
          <w:p>
            <w:pPr>
              <w:spacing w:after="0"/>
              <w:rPr>
                <w:sz w:val="18"/>
                <w:szCs w:val="18"/>
                <w:color w:val="auto"/>
              </w:rPr>
            </w:pPr>
          </w:p>
        </w:tc>
      </w:tr>
      <w:tr>
        <w:trPr>
          <w:trHeight w:val="223"/>
        </w:trPr>
        <w:tc>
          <w:tcPr>
            <w:tcW w:w="4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Adder</w:t>
            </w:r>
          </w:p>
        </w:tc>
        <w:tc>
          <w:tcPr>
            <w:tcW w:w="28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tcPr>
          <w:p>
            <w:pPr>
              <w:spacing w:after="0"/>
              <w:rPr>
                <w:sz w:val="19"/>
                <w:szCs w:val="19"/>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 Sell price</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spacing w:after="0"/>
              <w:rPr>
                <w:sz w:val="18"/>
                <w:szCs w:val="18"/>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Gross margin</w:t>
            </w: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12.5 %</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10.0 %</w:t>
            </w:r>
          </w:p>
        </w:tc>
      </w:tr>
    </w:tbl>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As is apparent from the preceding example, the level of lumber prices does not impact our overall profits but does impact our margins. Gross margins and operating margins are negatively impacted during periods of high lumber prices; conversely, we experience margin improvement when lumber prices are relatively 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completed five business acquisitions during the first six months of 2021 and five during all of 2020. The annual historical sales attributable to acquisitions completed in the first six months of 2021 is approximately $1.3 billion, while acquisitions completed from July through December 2020 have annual sales of approximately $79 million. These business combinations were not significant to our quarterly results individually or in aggregate and thus pro forma results for 2021 and 2020 are not presented.</w:t>
      </w:r>
    </w:p>
    <w:p>
      <w:pPr>
        <w:spacing w:after="0" w:line="18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See Notes to the Unaudited Condensed Consolidated Financial Statements, Note F, “Business Combinations” for additional information.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following table presents, for the periods indicated, the components of our Unaudited Condensed Consolidated Statements of Earnings as a percentage of net sales.</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5380" w:type="dxa"/>
            <w:vAlign w:val="bottom"/>
          </w:tcPr>
          <w:p>
            <w:pPr>
              <w:spacing w:after="0"/>
              <w:rPr>
                <w:sz w:val="15"/>
                <w:szCs w:val="15"/>
                <w:color w:val="auto"/>
              </w:rPr>
            </w:pPr>
          </w:p>
        </w:tc>
        <w:tc>
          <w:tcPr>
            <w:tcW w:w="164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158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Six Months Ended</w:t>
            </w:r>
          </w:p>
        </w:tc>
      </w:tr>
      <w:tr>
        <w:trPr>
          <w:trHeight w:val="126"/>
        </w:trPr>
        <w:tc>
          <w:tcPr>
            <w:tcW w:w="5380" w:type="dxa"/>
            <w:vAlign w:val="bottom"/>
          </w:tcPr>
          <w:p>
            <w:pPr>
              <w:spacing w:after="0"/>
              <w:rPr>
                <w:sz w:val="10"/>
                <w:szCs w:val="10"/>
                <w:color w:val="auto"/>
              </w:rPr>
            </w:pPr>
          </w:p>
        </w:tc>
        <w:tc>
          <w:tcPr>
            <w:tcW w:w="780" w:type="dxa"/>
            <w:vAlign w:val="bottom"/>
            <w:gridSpan w:val="2"/>
          </w:tcPr>
          <w:p>
            <w:pPr>
              <w:jc w:val="right"/>
              <w:ind w:right="170"/>
              <w:spacing w:after="0" w:line="126" w:lineRule="exact"/>
              <w:rPr>
                <w:sz w:val="20"/>
                <w:szCs w:val="20"/>
                <w:color w:val="auto"/>
              </w:rPr>
            </w:pPr>
            <w:r>
              <w:rPr>
                <w:rFonts w:ascii="Arial" w:cs="Arial" w:eastAsia="Arial" w:hAnsi="Arial"/>
                <w:sz w:val="14"/>
                <w:szCs w:val="14"/>
                <w:b w:val="1"/>
                <w:bCs w:val="1"/>
                <w:color w:val="auto"/>
                <w:w w:val="89"/>
              </w:rPr>
              <w:t>June 26,</w:t>
            </w:r>
          </w:p>
        </w:tc>
        <w:tc>
          <w:tcPr>
            <w:tcW w:w="860" w:type="dxa"/>
            <w:vAlign w:val="bottom"/>
            <w:gridSpan w:val="2"/>
          </w:tcPr>
          <w:p>
            <w:pPr>
              <w:jc w:val="right"/>
              <w:ind w:right="230"/>
              <w:spacing w:after="0" w:line="126" w:lineRule="exact"/>
              <w:rPr>
                <w:sz w:val="20"/>
                <w:szCs w:val="20"/>
                <w:color w:val="auto"/>
              </w:rPr>
            </w:pPr>
            <w:r>
              <w:rPr>
                <w:rFonts w:ascii="Arial" w:cs="Arial" w:eastAsia="Arial" w:hAnsi="Arial"/>
                <w:sz w:val="14"/>
                <w:szCs w:val="14"/>
                <w:b w:val="1"/>
                <w:bCs w:val="1"/>
                <w:color w:val="auto"/>
                <w:w w:val="92"/>
              </w:rPr>
              <w:t>June 27,</w:t>
            </w:r>
          </w:p>
        </w:tc>
        <w:tc>
          <w:tcPr>
            <w:tcW w:w="780" w:type="dxa"/>
            <w:vAlign w:val="bottom"/>
            <w:gridSpan w:val="2"/>
          </w:tcPr>
          <w:p>
            <w:pPr>
              <w:jc w:val="right"/>
              <w:ind w:right="170"/>
              <w:spacing w:after="0" w:line="126" w:lineRule="exact"/>
              <w:rPr>
                <w:sz w:val="20"/>
                <w:szCs w:val="20"/>
                <w:color w:val="auto"/>
              </w:rPr>
            </w:pPr>
            <w:r>
              <w:rPr>
                <w:rFonts w:ascii="Arial" w:cs="Arial" w:eastAsia="Arial" w:hAnsi="Arial"/>
                <w:sz w:val="14"/>
                <w:szCs w:val="14"/>
                <w:b w:val="1"/>
                <w:bCs w:val="1"/>
                <w:color w:val="auto"/>
                <w:w w:val="89"/>
              </w:rPr>
              <w:t>June 26,</w:t>
            </w:r>
          </w:p>
        </w:tc>
        <w:tc>
          <w:tcPr>
            <w:tcW w:w="800" w:type="dxa"/>
            <w:vAlign w:val="bottom"/>
            <w:gridSpan w:val="2"/>
          </w:tcPr>
          <w:p>
            <w:pPr>
              <w:jc w:val="right"/>
              <w:ind w:right="170"/>
              <w:spacing w:after="0" w:line="126" w:lineRule="exact"/>
              <w:rPr>
                <w:sz w:val="20"/>
                <w:szCs w:val="20"/>
                <w:color w:val="auto"/>
              </w:rPr>
            </w:pPr>
            <w:r>
              <w:rPr>
                <w:rFonts w:ascii="Arial" w:cs="Arial" w:eastAsia="Arial" w:hAnsi="Arial"/>
                <w:sz w:val="14"/>
                <w:szCs w:val="14"/>
                <w:b w:val="1"/>
                <w:bCs w:val="1"/>
                <w:color w:val="auto"/>
                <w:w w:val="92"/>
              </w:rPr>
              <w:t>June 27,</w:t>
            </w:r>
          </w:p>
        </w:tc>
      </w:tr>
      <w:tr>
        <w:trPr>
          <w:trHeight w:val="178"/>
        </w:trPr>
        <w:tc>
          <w:tcPr>
            <w:tcW w:w="53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5"/>
                <w:szCs w:val="15"/>
                <w:color w:val="auto"/>
              </w:rPr>
            </w:pPr>
          </w:p>
        </w:tc>
      </w:tr>
      <w:tr>
        <w:trPr>
          <w:trHeight w:val="216"/>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r>
      <w:tr>
        <w:trPr>
          <w:trHeight w:val="216"/>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24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3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24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240" w:type="dxa"/>
            <w:vAlign w:val="bottom"/>
            <w:tcBorders>
              <w:bottom w:val="single" w:sz="8" w:color="CCEEFF"/>
            </w:tcBorders>
          </w:tcPr>
          <w:p>
            <w:pPr>
              <w:spacing w:after="0"/>
              <w:rPr>
                <w:sz w:val="18"/>
                <w:szCs w:val="18"/>
                <w:color w:val="auto"/>
              </w:rPr>
            </w:pPr>
          </w:p>
        </w:tc>
      </w:tr>
      <w:tr>
        <w:trPr>
          <w:trHeight w:val="20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40" w:type="dxa"/>
            <w:vAlign w:val="bottom"/>
            <w:shd w:val="clear" w:color="auto" w:fill="CCEEFF"/>
          </w:tcPr>
          <w:p>
            <w:pPr>
              <w:spacing w:after="0"/>
              <w:rPr>
                <w:sz w:val="18"/>
                <w:szCs w:val="18"/>
                <w:color w:val="auto"/>
              </w:rPr>
            </w:pPr>
          </w:p>
        </w:tc>
      </w:tr>
      <w:tr>
        <w:trPr>
          <w:trHeight w:val="216"/>
        </w:trPr>
        <w:tc>
          <w:tcPr>
            <w:tcW w:w="538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540" w:type="dxa"/>
            <w:vAlign w:val="bottom"/>
          </w:tcPr>
          <w:p>
            <w:pPr>
              <w:jc w:val="right"/>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9.2</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9.8</w:t>
            </w:r>
          </w:p>
        </w:tc>
        <w:tc>
          <w:tcPr>
            <w:tcW w:w="240" w:type="dxa"/>
            <w:vAlign w:val="bottom"/>
          </w:tcPr>
          <w:p>
            <w:pPr>
              <w:spacing w:after="0"/>
              <w:rPr>
                <w:sz w:val="18"/>
                <w:szCs w:val="18"/>
                <w:color w:val="auto"/>
              </w:rPr>
            </w:pPr>
          </w:p>
        </w:tc>
      </w:tr>
      <w:tr>
        <w:trPr>
          <w:trHeight w:val="216"/>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gains, net</w:t>
            </w:r>
          </w:p>
        </w:tc>
        <w:tc>
          <w:tcPr>
            <w:tcW w:w="7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(0.1)</w:t>
            </w:r>
          </w:p>
        </w:tc>
        <w:tc>
          <w:tcPr>
            <w:tcW w:w="7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r>
      <w:tr>
        <w:trPr>
          <w:trHeight w:val="210"/>
        </w:trPr>
        <w:tc>
          <w:tcPr>
            <w:tcW w:w="5380" w:type="dxa"/>
            <w:vAlign w:val="bottom"/>
          </w:tcPr>
          <w:p>
            <w:pPr>
              <w:ind w:left="20"/>
              <w:spacing w:after="0"/>
              <w:rPr>
                <w:sz w:val="20"/>
                <w:szCs w:val="20"/>
                <w:color w:val="auto"/>
              </w:rPr>
            </w:pPr>
            <w:r>
              <w:rPr>
                <w:rFonts w:ascii="Arial" w:cs="Arial" w:eastAsia="Arial" w:hAnsi="Arial"/>
                <w:sz w:val="18"/>
                <w:szCs w:val="18"/>
                <w:color w:val="auto"/>
              </w:rPr>
              <w:t>Earnings from operations</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4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18"/>
                <w:szCs w:val="18"/>
                <w:color w:val="auto"/>
              </w:rPr>
            </w:pPr>
          </w:p>
        </w:tc>
      </w:tr>
      <w:tr>
        <w:trPr>
          <w:trHeight w:val="216"/>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(0.1)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8"/>
                <w:szCs w:val="18"/>
                <w:color w:val="auto"/>
              </w:rPr>
            </w:pPr>
          </w:p>
        </w:tc>
      </w:tr>
      <w:tr>
        <w:trPr>
          <w:trHeight w:val="210"/>
        </w:trPr>
        <w:tc>
          <w:tcPr>
            <w:tcW w:w="5380" w:type="dxa"/>
            <w:vAlign w:val="bottom"/>
          </w:tcPr>
          <w:p>
            <w:pPr>
              <w:ind w:left="20"/>
              <w:spacing w:after="0"/>
              <w:rPr>
                <w:sz w:val="20"/>
                <w:szCs w:val="20"/>
                <w:color w:val="auto"/>
              </w:rPr>
            </w:pPr>
            <w:r>
              <w:rPr>
                <w:rFonts w:ascii="Arial" w:cs="Arial" w:eastAsia="Arial" w:hAnsi="Arial"/>
                <w:sz w:val="18"/>
                <w:szCs w:val="18"/>
                <w:color w:val="auto"/>
              </w:rPr>
              <w:t>Earnings before income taxes</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32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18"/>
                <w:szCs w:val="18"/>
                <w:color w:val="auto"/>
              </w:rPr>
            </w:pPr>
          </w:p>
        </w:tc>
      </w:tr>
      <w:tr>
        <w:trPr>
          <w:trHeight w:val="216"/>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r>
      <w:tr>
        <w:trPr>
          <w:trHeight w:val="210"/>
        </w:trPr>
        <w:tc>
          <w:tcPr>
            <w:tcW w:w="538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540" w:type="dxa"/>
            <w:vAlign w:val="bottom"/>
          </w:tcPr>
          <w:p>
            <w:pPr>
              <w:jc w:val="right"/>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8"/>
                <w:szCs w:val="18"/>
                <w:color w:val="auto"/>
              </w:rPr>
            </w:pPr>
          </w:p>
        </w:tc>
      </w:tr>
      <w:tr>
        <w:trPr>
          <w:trHeight w:val="216"/>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earnings attributable to noncontrolling interest</w:t>
            </w:r>
          </w:p>
        </w:tc>
        <w:tc>
          <w:tcPr>
            <w:tcW w:w="7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8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(0.3)</w:t>
            </w:r>
          </w:p>
        </w:tc>
        <w:tc>
          <w:tcPr>
            <w:tcW w:w="7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8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r>
      <w:tr>
        <w:trPr>
          <w:trHeight w:val="210"/>
        </w:trPr>
        <w:tc>
          <w:tcPr>
            <w:tcW w:w="5380" w:type="dxa"/>
            <w:vAlign w:val="bottom"/>
          </w:tcPr>
          <w:p>
            <w:pPr>
              <w:ind w:left="20"/>
              <w:spacing w:after="0"/>
              <w:rPr>
                <w:sz w:val="20"/>
                <w:szCs w:val="20"/>
                <w:color w:val="auto"/>
              </w:rPr>
            </w:pPr>
            <w:r>
              <w:rPr>
                <w:rFonts w:ascii="Arial" w:cs="Arial" w:eastAsia="Arial" w:hAnsi="Arial"/>
                <w:sz w:val="18"/>
                <w:szCs w:val="18"/>
                <w:color w:val="auto"/>
              </w:rPr>
              <w:t>Net earnings attributable to controlling interest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w w:val="87"/>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r>
      <w:tr>
        <w:trPr>
          <w:trHeight w:val="20"/>
        </w:trPr>
        <w:tc>
          <w:tcPr>
            <w:tcW w:w="53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35" w:lineRule="exact"/>
        <w:rPr>
          <w:sz w:val="20"/>
          <w:szCs w:val="20"/>
          <w:color w:val="auto"/>
        </w:rPr>
      </w:pPr>
    </w:p>
    <w:p>
      <w:pPr>
        <w:ind w:left="60"/>
        <w:spacing w:after="0"/>
        <w:rPr>
          <w:sz w:val="20"/>
          <w:szCs w:val="20"/>
          <w:color w:val="auto"/>
        </w:rPr>
      </w:pPr>
      <w:r>
        <w:rPr>
          <w:rFonts w:ascii="Arial" w:cs="Arial" w:eastAsia="Arial" w:hAnsi="Arial"/>
          <w:sz w:val="14"/>
          <w:szCs w:val="14"/>
          <w:color w:val="auto"/>
        </w:rPr>
        <w:t>Note: Actual percentages are calculated and may not sum to total due to rounding.</w:t>
      </w:r>
    </w:p>
    <w:p>
      <w:pPr>
        <w:spacing w:after="0" w:line="208"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As a result of the impact of the level of lumber prices on the percentages displayed in the table above (see Impact of the Lumber Market on Our Operating Results), we believe it is useful to compare our change in units sold with our change in gross profits, selling, general, and administrative expenses, and operating profits as presented in the following table. The percentages displayed below represent the percentage change from the prior year comparable period.</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3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Percentage Change</w:t>
            </w:r>
          </w:p>
        </w:tc>
        <w:tc>
          <w:tcPr>
            <w:tcW w:w="9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55"/>
        </w:trPr>
        <w:tc>
          <w:tcPr>
            <w:tcW w:w="3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160" w:type="dxa"/>
            <w:vAlign w:val="bottom"/>
            <w:gridSpan w:val="4"/>
          </w:tcPr>
          <w:p>
            <w:pPr>
              <w:ind w:left="340"/>
              <w:spacing w:after="0" w:line="149" w:lineRule="exact"/>
              <w:rPr>
                <w:sz w:val="20"/>
                <w:szCs w:val="20"/>
                <w:color w:val="auto"/>
              </w:rPr>
            </w:pPr>
            <w:r>
              <w:rPr>
                <w:rFonts w:ascii="Arial" w:cs="Arial" w:eastAsia="Arial" w:hAnsi="Arial"/>
                <w:sz w:val="14"/>
                <w:szCs w:val="14"/>
                <w:b w:val="1"/>
                <w:bCs w:val="1"/>
                <w:color w:val="auto"/>
              </w:rPr>
              <w:t>Three Months Ended</w:t>
            </w:r>
          </w:p>
        </w:tc>
        <w:tc>
          <w:tcPr>
            <w:tcW w:w="2040" w:type="dxa"/>
            <w:vAlign w:val="bottom"/>
            <w:gridSpan w:val="3"/>
          </w:tcPr>
          <w:p>
            <w:pPr>
              <w:ind w:left="460"/>
              <w:spacing w:after="0" w:line="149" w:lineRule="exact"/>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3"/>
                <w:szCs w:val="13"/>
                <w:color w:val="auto"/>
              </w:rPr>
            </w:pPr>
          </w:p>
        </w:tc>
      </w:tr>
      <w:tr>
        <w:trPr>
          <w:trHeight w:val="126"/>
        </w:trPr>
        <w:tc>
          <w:tcPr>
            <w:tcW w:w="3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40" w:type="dxa"/>
            <w:vAlign w:val="bottom"/>
            <w:tcBorders>
              <w:top w:val="single" w:sz="8" w:color="auto"/>
            </w:tcBorders>
            <w:gridSpan w:val="2"/>
          </w:tcPr>
          <w:p>
            <w:pPr>
              <w:ind w:left="200"/>
              <w:spacing w:after="0" w:line="126" w:lineRule="exact"/>
              <w:rPr>
                <w:sz w:val="20"/>
                <w:szCs w:val="20"/>
                <w:color w:val="auto"/>
              </w:rPr>
            </w:pPr>
            <w:r>
              <w:rPr>
                <w:rFonts w:ascii="Arial" w:cs="Arial" w:eastAsia="Arial" w:hAnsi="Arial"/>
                <w:sz w:val="14"/>
                <w:szCs w:val="14"/>
                <w:b w:val="1"/>
                <w:bCs w:val="1"/>
                <w:color w:val="auto"/>
              </w:rPr>
              <w:t>June 26,</w:t>
            </w:r>
          </w:p>
        </w:tc>
        <w:tc>
          <w:tcPr>
            <w:tcW w:w="960" w:type="dxa"/>
            <w:vAlign w:val="bottom"/>
            <w:tcBorders>
              <w:top w:val="single" w:sz="8" w:color="auto"/>
            </w:tcBorders>
          </w:tcPr>
          <w:p>
            <w:pPr>
              <w:jc w:val="right"/>
              <w:ind w:right="138"/>
              <w:spacing w:after="0" w:line="126" w:lineRule="exact"/>
              <w:rPr>
                <w:sz w:val="20"/>
                <w:szCs w:val="20"/>
                <w:color w:val="auto"/>
              </w:rPr>
            </w:pPr>
            <w:r>
              <w:rPr>
                <w:rFonts w:ascii="Arial" w:cs="Arial" w:eastAsia="Arial" w:hAnsi="Arial"/>
                <w:sz w:val="14"/>
                <w:szCs w:val="14"/>
                <w:b w:val="1"/>
                <w:bCs w:val="1"/>
                <w:color w:val="auto"/>
              </w:rPr>
              <w:t>June 27,</w:t>
            </w:r>
          </w:p>
        </w:tc>
        <w:tc>
          <w:tcPr>
            <w:tcW w:w="160" w:type="dxa"/>
            <w:vAlign w:val="bottom"/>
          </w:tcPr>
          <w:p>
            <w:pPr>
              <w:spacing w:after="0"/>
              <w:rPr>
                <w:sz w:val="10"/>
                <w:szCs w:val="10"/>
                <w:color w:val="auto"/>
              </w:rPr>
            </w:pPr>
          </w:p>
        </w:tc>
        <w:tc>
          <w:tcPr>
            <w:tcW w:w="1100" w:type="dxa"/>
            <w:vAlign w:val="bottom"/>
            <w:tcBorders>
              <w:top w:val="single" w:sz="8" w:color="auto"/>
            </w:tcBorders>
            <w:gridSpan w:val="2"/>
          </w:tcPr>
          <w:p>
            <w:pPr>
              <w:ind w:left="220"/>
              <w:spacing w:after="0" w:line="126" w:lineRule="exact"/>
              <w:rPr>
                <w:sz w:val="20"/>
                <w:szCs w:val="20"/>
                <w:color w:val="auto"/>
              </w:rPr>
            </w:pPr>
            <w:r>
              <w:rPr>
                <w:rFonts w:ascii="Arial" w:cs="Arial" w:eastAsia="Arial" w:hAnsi="Arial"/>
                <w:sz w:val="14"/>
                <w:szCs w:val="14"/>
                <w:b w:val="1"/>
                <w:bCs w:val="1"/>
                <w:color w:val="auto"/>
              </w:rPr>
              <w:t>June 26,</w:t>
            </w:r>
          </w:p>
        </w:tc>
        <w:tc>
          <w:tcPr>
            <w:tcW w:w="940" w:type="dxa"/>
            <w:vAlign w:val="bottom"/>
            <w:tcBorders>
              <w:top w:val="single" w:sz="8" w:color="auto"/>
            </w:tcBorders>
          </w:tcPr>
          <w:p>
            <w:pPr>
              <w:jc w:val="right"/>
              <w:ind w:right="116"/>
              <w:spacing w:after="0" w:line="126" w:lineRule="exact"/>
              <w:rPr>
                <w:sz w:val="20"/>
                <w:szCs w:val="20"/>
                <w:color w:val="auto"/>
              </w:rPr>
            </w:pPr>
            <w:r>
              <w:rPr>
                <w:rFonts w:ascii="Arial" w:cs="Arial" w:eastAsia="Arial" w:hAnsi="Arial"/>
                <w:sz w:val="14"/>
                <w:szCs w:val="14"/>
                <w:b w:val="1"/>
                <w:bCs w:val="1"/>
                <w:color w:val="auto"/>
              </w:rPr>
              <w:t>June 27,</w:t>
            </w:r>
          </w:p>
        </w:tc>
        <w:tc>
          <w:tcPr>
            <w:tcW w:w="20" w:type="dxa"/>
            <w:vAlign w:val="bottom"/>
          </w:tcPr>
          <w:p>
            <w:pPr>
              <w:spacing w:after="0"/>
              <w:rPr>
                <w:sz w:val="10"/>
                <w:szCs w:val="10"/>
                <w:color w:val="auto"/>
              </w:rPr>
            </w:pPr>
          </w:p>
        </w:tc>
      </w:tr>
      <w:tr>
        <w:trPr>
          <w:trHeight w:val="178"/>
        </w:trPr>
        <w:tc>
          <w:tcPr>
            <w:tcW w:w="3820" w:type="dxa"/>
            <w:vAlign w:val="bottom"/>
          </w:tcPr>
          <w:p>
            <w:pPr>
              <w:spacing w:after="0"/>
              <w:rPr>
                <w:sz w:val="15"/>
                <w:szCs w:val="15"/>
                <w:color w:val="auto"/>
              </w:rPr>
            </w:pPr>
          </w:p>
        </w:tc>
        <w:tc>
          <w:tcPr>
            <w:tcW w:w="1760" w:type="dxa"/>
            <w:vAlign w:val="bottom"/>
            <w:gridSpan w:val="2"/>
          </w:tcPr>
          <w:p>
            <w:pPr>
              <w:jc w:val="right"/>
              <w:ind w:right="202"/>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5"/>
                <w:szCs w:val="15"/>
                <w:color w:val="auto"/>
              </w:rPr>
            </w:pPr>
          </w:p>
        </w:tc>
        <w:tc>
          <w:tcPr>
            <w:tcW w:w="960" w:type="dxa"/>
            <w:vAlign w:val="bottom"/>
          </w:tcPr>
          <w:p>
            <w:pPr>
              <w:jc w:val="right"/>
              <w:ind w:right="258"/>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5"/>
                <w:szCs w:val="15"/>
                <w:color w:val="auto"/>
              </w:rPr>
            </w:pPr>
          </w:p>
        </w:tc>
        <w:tc>
          <w:tcPr>
            <w:tcW w:w="940" w:type="dxa"/>
            <w:vAlign w:val="bottom"/>
          </w:tcPr>
          <w:p>
            <w:pPr>
              <w:ind w:left="320"/>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5"/>
                <w:szCs w:val="15"/>
                <w:color w:val="auto"/>
              </w:rPr>
            </w:pPr>
          </w:p>
        </w:tc>
        <w:tc>
          <w:tcPr>
            <w:tcW w:w="940" w:type="dxa"/>
            <w:vAlign w:val="bottom"/>
          </w:tcPr>
          <w:p>
            <w:pPr>
              <w:jc w:val="right"/>
              <w:ind w:right="236"/>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r>
      <w:tr>
        <w:trPr>
          <w:trHeight w:val="216"/>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Units sold</w:t>
            </w:r>
          </w:p>
        </w:tc>
        <w:tc>
          <w:tcPr>
            <w:tcW w:w="8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47.0 %</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(3.0)%</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41.0 %</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r>
      <w:tr>
        <w:trPr>
          <w:trHeight w:val="216"/>
        </w:trPr>
        <w:tc>
          <w:tcPr>
            <w:tcW w:w="38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760" w:type="dxa"/>
            <w:vAlign w:val="bottom"/>
            <w:gridSpan w:val="2"/>
          </w:tcPr>
          <w:p>
            <w:pPr>
              <w:jc w:val="right"/>
              <w:ind w:right="222"/>
              <w:spacing w:after="0"/>
              <w:rPr>
                <w:sz w:val="20"/>
                <w:szCs w:val="20"/>
                <w:color w:val="auto"/>
              </w:rPr>
            </w:pPr>
            <w:r>
              <w:rPr>
                <w:rFonts w:ascii="Arial" w:cs="Arial" w:eastAsia="Arial" w:hAnsi="Arial"/>
                <w:sz w:val="18"/>
                <w:szCs w:val="18"/>
                <w:color w:val="auto"/>
              </w:rPr>
              <w:t>105.6</w:t>
            </w:r>
          </w:p>
        </w:tc>
        <w:tc>
          <w:tcPr>
            <w:tcW w:w="160" w:type="dxa"/>
            <w:vAlign w:val="bottom"/>
          </w:tcPr>
          <w:p>
            <w:pPr>
              <w:spacing w:after="0"/>
              <w:rPr>
                <w:sz w:val="18"/>
                <w:szCs w:val="18"/>
                <w:color w:val="auto"/>
              </w:rPr>
            </w:pPr>
          </w:p>
        </w:tc>
        <w:tc>
          <w:tcPr>
            <w:tcW w:w="960" w:type="dxa"/>
            <w:vAlign w:val="bottom"/>
          </w:tcPr>
          <w:p>
            <w:pPr>
              <w:jc w:val="right"/>
              <w:ind w:right="218"/>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18"/>
                <w:szCs w:val="18"/>
                <w:color w:val="auto"/>
              </w:rPr>
            </w:pPr>
          </w:p>
        </w:tc>
        <w:tc>
          <w:tcPr>
            <w:tcW w:w="940" w:type="dxa"/>
            <w:vAlign w:val="bottom"/>
          </w:tcPr>
          <w:p>
            <w:pPr>
              <w:ind w:left="320"/>
              <w:spacing w:after="0"/>
              <w:rPr>
                <w:sz w:val="20"/>
                <w:szCs w:val="20"/>
                <w:color w:val="auto"/>
              </w:rPr>
            </w:pPr>
            <w:r>
              <w:rPr>
                <w:rFonts w:ascii="Arial" w:cs="Arial" w:eastAsia="Arial" w:hAnsi="Arial"/>
                <w:sz w:val="18"/>
                <w:szCs w:val="18"/>
                <w:color w:val="auto"/>
              </w:rPr>
              <w:t>90.2</w:t>
            </w:r>
          </w:p>
        </w:tc>
        <w:tc>
          <w:tcPr>
            <w:tcW w:w="160" w:type="dxa"/>
            <w:vAlign w:val="bottom"/>
          </w:tcPr>
          <w:p>
            <w:pPr>
              <w:spacing w:after="0"/>
              <w:rPr>
                <w:sz w:val="18"/>
                <w:szCs w:val="18"/>
                <w:color w:val="auto"/>
              </w:rPr>
            </w:pPr>
          </w:p>
        </w:tc>
        <w:tc>
          <w:tcPr>
            <w:tcW w:w="940" w:type="dxa"/>
            <w:vAlign w:val="bottom"/>
          </w:tcPr>
          <w:p>
            <w:pPr>
              <w:jc w:val="right"/>
              <w:ind w:right="196"/>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760" w:type="dxa"/>
            <w:vAlign w:val="bottom"/>
            <w:gridSpan w:val="2"/>
            <w:shd w:val="clear" w:color="auto" w:fill="CCEEFF"/>
          </w:tcPr>
          <w:p>
            <w:pPr>
              <w:jc w:val="right"/>
              <w:ind w:right="222"/>
              <w:spacing w:after="0"/>
              <w:rPr>
                <w:sz w:val="20"/>
                <w:szCs w:val="20"/>
                <w:color w:val="auto"/>
              </w:rPr>
            </w:pPr>
            <w:r>
              <w:rPr>
                <w:rFonts w:ascii="Arial" w:cs="Arial" w:eastAsia="Arial" w:hAnsi="Arial"/>
                <w:sz w:val="18"/>
                <w:szCs w:val="18"/>
                <w:color w:val="auto"/>
              </w:rPr>
              <w:t>62.2</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Earnings from operations</w:t>
            </w:r>
          </w:p>
        </w:tc>
        <w:tc>
          <w:tcPr>
            <w:tcW w:w="1760" w:type="dxa"/>
            <w:vAlign w:val="bottom"/>
            <w:gridSpan w:val="2"/>
          </w:tcPr>
          <w:p>
            <w:pPr>
              <w:jc w:val="right"/>
              <w:ind w:right="222"/>
              <w:spacing w:after="0"/>
              <w:rPr>
                <w:sz w:val="20"/>
                <w:szCs w:val="20"/>
                <w:color w:val="auto"/>
              </w:rPr>
            </w:pPr>
            <w:r>
              <w:rPr>
                <w:rFonts w:ascii="Arial" w:cs="Arial" w:eastAsia="Arial" w:hAnsi="Arial"/>
                <w:sz w:val="18"/>
                <w:szCs w:val="18"/>
                <w:color w:val="auto"/>
              </w:rPr>
              <w:t>156.5</w:t>
            </w:r>
          </w:p>
        </w:tc>
        <w:tc>
          <w:tcPr>
            <w:tcW w:w="160" w:type="dxa"/>
            <w:vAlign w:val="bottom"/>
          </w:tcPr>
          <w:p>
            <w:pPr>
              <w:spacing w:after="0"/>
              <w:rPr>
                <w:sz w:val="20"/>
                <w:szCs w:val="20"/>
                <w:color w:val="auto"/>
              </w:rPr>
            </w:pPr>
          </w:p>
        </w:tc>
        <w:tc>
          <w:tcPr>
            <w:tcW w:w="960" w:type="dxa"/>
            <w:vAlign w:val="bottom"/>
          </w:tcPr>
          <w:p>
            <w:pPr>
              <w:jc w:val="right"/>
              <w:ind w:right="218"/>
              <w:spacing w:after="0"/>
              <w:rPr>
                <w:sz w:val="20"/>
                <w:szCs w:val="20"/>
                <w:color w:val="auto"/>
              </w:rPr>
            </w:pPr>
            <w:r>
              <w:rPr>
                <w:rFonts w:ascii="Arial" w:cs="Arial" w:eastAsia="Arial" w:hAnsi="Arial"/>
                <w:sz w:val="18"/>
                <w:szCs w:val="18"/>
                <w:color w:val="auto"/>
              </w:rPr>
              <w:t>24.4</w:t>
            </w:r>
          </w:p>
        </w:tc>
        <w:tc>
          <w:tcPr>
            <w:tcW w:w="160" w:type="dxa"/>
            <w:vAlign w:val="bottom"/>
          </w:tcPr>
          <w:p>
            <w:pPr>
              <w:spacing w:after="0"/>
              <w:rPr>
                <w:sz w:val="20"/>
                <w:szCs w:val="20"/>
                <w:color w:val="auto"/>
              </w:rPr>
            </w:pPr>
          </w:p>
        </w:tc>
        <w:tc>
          <w:tcPr>
            <w:tcW w:w="940" w:type="dxa"/>
            <w:vAlign w:val="bottom"/>
          </w:tcPr>
          <w:p>
            <w:pPr>
              <w:ind w:left="240"/>
              <w:spacing w:after="0"/>
              <w:rPr>
                <w:sz w:val="20"/>
                <w:szCs w:val="20"/>
                <w:color w:val="auto"/>
              </w:rPr>
            </w:pPr>
            <w:r>
              <w:rPr>
                <w:rFonts w:ascii="Arial" w:cs="Arial" w:eastAsia="Arial" w:hAnsi="Arial"/>
                <w:sz w:val="18"/>
                <w:szCs w:val="18"/>
                <w:color w:val="auto"/>
              </w:rPr>
              <w:t>148.0</w:t>
            </w:r>
          </w:p>
        </w:tc>
        <w:tc>
          <w:tcPr>
            <w:tcW w:w="160" w:type="dxa"/>
            <w:vAlign w:val="bottom"/>
          </w:tcPr>
          <w:p>
            <w:pPr>
              <w:spacing w:after="0"/>
              <w:rPr>
                <w:sz w:val="20"/>
                <w:szCs w:val="20"/>
                <w:color w:val="auto"/>
              </w:rPr>
            </w:pPr>
          </w:p>
        </w:tc>
        <w:tc>
          <w:tcPr>
            <w:tcW w:w="940" w:type="dxa"/>
            <w:vAlign w:val="bottom"/>
          </w:tcPr>
          <w:p>
            <w:pPr>
              <w:jc w:val="right"/>
              <w:ind w:right="196"/>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20"/>
                <w:szCs w:val="20"/>
                <w:color w:val="auto"/>
              </w:rPr>
            </w:pPr>
          </w:p>
        </w:tc>
      </w:tr>
      <w:tr>
        <w:trPr>
          <w:trHeight w:val="634"/>
        </w:trPr>
        <w:tc>
          <w:tcPr>
            <w:tcW w:w="3820" w:type="dxa"/>
            <w:vAlign w:val="bottom"/>
          </w:tcPr>
          <w:p>
            <w:pPr>
              <w:spacing w:after="0"/>
              <w:rPr>
                <w:sz w:val="24"/>
                <w:szCs w:val="24"/>
                <w:color w:val="auto"/>
              </w:rPr>
            </w:pP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22</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38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4"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 following table presents, for the periods indicated, our selling, general, and administrative (SG&amp;A) costs as a percentage of gross profit. Given our strategies to enhance our capabilities and improve our value-added product offering, and recognizing the higher relative level of SG&amp;A costs these strategies require, we believe this ratio provides an enhanced view of our effectiveness in managing these costs and mitigates the impact of changing lumber prices.</w:t>
      </w:r>
    </w:p>
    <w:p>
      <w:pPr>
        <w:spacing w:after="0" w:line="95"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3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477"/>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jc w:val="right"/>
              <w:ind w:right="557"/>
              <w:spacing w:after="0"/>
              <w:rPr>
                <w:sz w:val="20"/>
                <w:szCs w:val="20"/>
                <w:color w:val="auto"/>
              </w:rPr>
            </w:pPr>
            <w:r>
              <w:rPr>
                <w:rFonts w:ascii="Arial" w:cs="Arial" w:eastAsia="Arial" w:hAnsi="Arial"/>
                <w:sz w:val="14"/>
                <w:szCs w:val="14"/>
                <w:b w:val="1"/>
                <w:bCs w:val="1"/>
                <w:color w:val="auto"/>
              </w:rPr>
              <w:t>Six Months Ended</w:t>
            </w:r>
          </w:p>
        </w:tc>
      </w:tr>
      <w:tr>
        <w:trPr>
          <w:trHeight w:val="126"/>
        </w:trPr>
        <w:tc>
          <w:tcPr>
            <w:tcW w:w="3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right"/>
              <w:ind w:right="219"/>
              <w:spacing w:after="0" w:line="126" w:lineRule="exact"/>
              <w:rPr>
                <w:sz w:val="20"/>
                <w:szCs w:val="20"/>
                <w:color w:val="auto"/>
              </w:rPr>
            </w:pPr>
            <w:r>
              <w:rPr>
                <w:rFonts w:ascii="Arial" w:cs="Arial" w:eastAsia="Arial" w:hAnsi="Arial"/>
                <w:sz w:val="14"/>
                <w:szCs w:val="14"/>
                <w:b w:val="1"/>
                <w:bCs w:val="1"/>
                <w:color w:val="auto"/>
              </w:rPr>
              <w:t>June 26,</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right"/>
              <w:ind w:right="217"/>
              <w:spacing w:after="0" w:line="126" w:lineRule="exact"/>
              <w:rPr>
                <w:sz w:val="20"/>
                <w:szCs w:val="20"/>
                <w:color w:val="auto"/>
              </w:rPr>
            </w:pPr>
            <w:r>
              <w:rPr>
                <w:rFonts w:ascii="Arial" w:cs="Arial" w:eastAsia="Arial" w:hAnsi="Arial"/>
                <w:sz w:val="14"/>
                <w:szCs w:val="14"/>
                <w:b w:val="1"/>
                <w:bCs w:val="1"/>
                <w:color w:val="auto"/>
              </w:rPr>
              <w:t>June 27,</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right"/>
              <w:ind w:right="219"/>
              <w:spacing w:after="0" w:line="126" w:lineRule="exact"/>
              <w:rPr>
                <w:sz w:val="20"/>
                <w:szCs w:val="20"/>
                <w:color w:val="auto"/>
              </w:rPr>
            </w:pPr>
            <w:r>
              <w:rPr>
                <w:rFonts w:ascii="Arial" w:cs="Arial" w:eastAsia="Arial" w:hAnsi="Arial"/>
                <w:sz w:val="14"/>
                <w:szCs w:val="14"/>
                <w:b w:val="1"/>
                <w:bCs w:val="1"/>
                <w:color w:val="auto"/>
              </w:rPr>
              <w:t>June 26,</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right"/>
              <w:ind w:right="217"/>
              <w:spacing w:after="0" w:line="126" w:lineRule="exact"/>
              <w:rPr>
                <w:sz w:val="20"/>
                <w:szCs w:val="20"/>
                <w:color w:val="auto"/>
              </w:rPr>
            </w:pPr>
            <w:r>
              <w:rPr>
                <w:rFonts w:ascii="Arial" w:cs="Arial" w:eastAsia="Arial" w:hAnsi="Arial"/>
                <w:sz w:val="14"/>
                <w:szCs w:val="14"/>
                <w:b w:val="1"/>
                <w:bCs w:val="1"/>
                <w:color w:val="auto"/>
              </w:rPr>
              <w:t>June 27,</w:t>
            </w:r>
          </w:p>
        </w:tc>
      </w:tr>
      <w:tr>
        <w:trPr>
          <w:trHeight w:val="178"/>
        </w:trPr>
        <w:tc>
          <w:tcPr>
            <w:tcW w:w="352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2020</w:t>
            </w:r>
          </w:p>
        </w:tc>
      </w:tr>
      <w:tr>
        <w:trPr>
          <w:trHeight w:val="216"/>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421,294</w:t>
            </w:r>
          </w:p>
        </w:tc>
        <w:tc>
          <w:tcPr>
            <w:tcW w:w="180" w:type="dxa"/>
            <w:vAlign w:val="bottom"/>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204,931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707,848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372,167</w:t>
            </w:r>
          </w:p>
        </w:tc>
      </w:tr>
      <w:tr>
        <w:trPr>
          <w:trHeight w:val="216"/>
        </w:trPr>
        <w:tc>
          <w:tcPr>
            <w:tcW w:w="3520" w:type="dxa"/>
            <w:vAlign w:val="bottom"/>
          </w:tcPr>
          <w:p>
            <w:pPr>
              <w:ind w:left="20"/>
              <w:spacing w:after="0"/>
              <w:rPr>
                <w:sz w:val="20"/>
                <w:szCs w:val="20"/>
                <w:color w:val="auto"/>
              </w:rPr>
            </w:pPr>
            <w:r>
              <w:rPr>
                <w:rFonts w:ascii="Arial" w:cs="Arial" w:eastAsia="Arial" w:hAnsi="Arial"/>
                <w:sz w:val="18"/>
                <w:szCs w:val="18"/>
                <w:color w:val="auto"/>
                <w:w w:val="96"/>
              </w:rPr>
              <w:t>Selling, general, and administrative expenses</w:t>
            </w: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184,539</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113,781</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334,637</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223,121</w:t>
            </w:r>
          </w:p>
        </w:tc>
      </w:tr>
      <w:tr>
        <w:trPr>
          <w:trHeight w:val="216"/>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SG&amp;A as percentage of gross profit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r>
    </w:tbl>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Operating Results by Segment:</w:t>
      </w:r>
    </w:p>
    <w:p>
      <w:pPr>
        <w:spacing w:after="0" w:line="229"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Our business segments align with the following markets: UFP Retail Solutions, UFP Construction and UFP Industrial. The Company manages the operations of its individual locations primarily through a market-centered reporting structure under which each location is included in a business unit and business units are included in our Retail, Industrial, and Construction segments. In the case of locations which serve multiple segments, results are allocated and accounted for by segment. The exception to this market-centered reporting and management structure is the Company’s International segment, which comprises our Mexico, Canada, and Australia operations and sales and purchasing offices in other parts of the world. Our International segment and Ardellis (our insurance captive) have been included in the “All Other” column of the table below. The “Corporate” column includes purchasing, transportation and administrative functions that serve our operating segments. Operating results of Corporate primarily consists of over (under) allocated costs. The operating results of UFP Real Estate, Inc., which owns and leases real estate, and UFP Transportation Ltd., which owns and leases transportation equipment, are also included in the Corporate column. An inter-company lease charge is assessed to our operating segments for the use of these assets at fair market value rates.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tables present our operating results, for the periods indicated, by segment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0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8"/>
              </w:rPr>
              <w:t>Three Months Ended June 26, 2021</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304"/>
        </w:trPr>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Retail</w:t>
            </w:r>
          </w:p>
        </w:tc>
        <w:tc>
          <w:tcPr>
            <w:tcW w:w="140" w:type="dxa"/>
            <w:vAlign w:val="bottom"/>
          </w:tcPr>
          <w:p>
            <w:pPr>
              <w:spacing w:after="0"/>
              <w:rPr>
                <w:sz w:val="24"/>
                <w:szCs w:val="2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Industrial</w:t>
            </w:r>
          </w:p>
        </w:tc>
        <w:tc>
          <w:tcPr>
            <w:tcW w:w="10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Construction</w:t>
            </w:r>
          </w:p>
        </w:tc>
        <w:tc>
          <w:tcPr>
            <w:tcW w:w="140" w:type="dxa"/>
            <w:vAlign w:val="bottom"/>
          </w:tcPr>
          <w:p>
            <w:pPr>
              <w:spacing w:after="0"/>
              <w:rPr>
                <w:sz w:val="24"/>
                <w:szCs w:val="2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All Other</w:t>
            </w:r>
          </w:p>
        </w:tc>
        <w:tc>
          <w:tcPr>
            <w:tcW w:w="14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Corporate</w:t>
            </w:r>
          </w:p>
        </w:tc>
        <w:tc>
          <w:tcPr>
            <w:tcW w:w="160" w:type="dxa"/>
            <w:vAlign w:val="bottom"/>
          </w:tcPr>
          <w:p>
            <w:pPr>
              <w:spacing w:after="0"/>
              <w:rPr>
                <w:sz w:val="24"/>
                <w:szCs w:val="24"/>
                <w:color w:val="auto"/>
              </w:rPr>
            </w:pPr>
          </w:p>
        </w:tc>
        <w:tc>
          <w:tcPr>
            <w:tcW w:w="88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1,259,218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611,181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738,704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89,470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2,700,541</w:t>
            </w:r>
          </w:p>
        </w:tc>
        <w:tc>
          <w:tcPr>
            <w:tcW w:w="20" w:type="dxa"/>
            <w:vAlign w:val="bottom"/>
          </w:tcPr>
          <w:p>
            <w:pPr>
              <w:spacing w:after="0"/>
              <w:rPr>
                <w:sz w:val="18"/>
                <w:szCs w:val="18"/>
                <w:color w:val="auto"/>
              </w:rPr>
            </w:pPr>
          </w:p>
        </w:tc>
      </w:tr>
      <w:tr>
        <w:trPr>
          <w:trHeight w:val="223"/>
        </w:trPr>
        <w:tc>
          <w:tcPr>
            <w:tcW w:w="2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1,136,887</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476,731</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604,414</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59,745</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2,279,247</w:t>
            </w:r>
          </w:p>
        </w:tc>
        <w:tc>
          <w:tcPr>
            <w:tcW w:w="20" w:type="dxa"/>
            <w:vAlign w:val="bottom"/>
          </w:tcPr>
          <w:p>
            <w:pPr>
              <w:spacing w:after="0"/>
              <w:rPr>
                <w:sz w:val="19"/>
                <w:szCs w:val="19"/>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122,331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134,290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421,294</w:t>
            </w:r>
          </w:p>
        </w:tc>
        <w:tc>
          <w:tcPr>
            <w:tcW w:w="20" w:type="dxa"/>
            <w:vAlign w:val="bottom"/>
          </w:tcPr>
          <w:p>
            <w:pPr>
              <w:spacing w:after="0"/>
              <w:rPr>
                <w:sz w:val="18"/>
                <w:szCs w:val="18"/>
                <w:color w:val="auto"/>
              </w:rPr>
            </w:pPr>
          </w:p>
        </w:tc>
      </w:tr>
      <w:tr>
        <w:trPr>
          <w:trHeight w:val="202"/>
        </w:trPr>
        <w:tc>
          <w:tcPr>
            <w:tcW w:w="2040" w:type="dxa"/>
            <w:vAlign w:val="bottom"/>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60,376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54,903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66,936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13,604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(11,280)</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184,539</w:t>
            </w:r>
          </w:p>
        </w:tc>
        <w:tc>
          <w:tcPr>
            <w:tcW w:w="20" w:type="dxa"/>
            <w:vAlign w:val="bottom"/>
          </w:tcPr>
          <w:p>
            <w:pPr>
              <w:spacing w:after="0"/>
              <w:rPr>
                <w:sz w:val="20"/>
                <w:szCs w:val="20"/>
                <w:color w:val="auto"/>
              </w:rPr>
            </w:pPr>
          </w:p>
        </w:tc>
      </w:tr>
      <w:tr>
        <w:trPr>
          <w:trHeight w:val="236"/>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(169)</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 w:type="dxa"/>
            <w:vAlign w:val="bottom"/>
          </w:tcPr>
          <w:p>
            <w:pPr>
              <w:spacing w:after="0"/>
              <w:rPr>
                <w:sz w:val="20"/>
                <w:szCs w:val="20"/>
                <w:color w:val="auto"/>
              </w:rPr>
            </w:pPr>
          </w:p>
        </w:tc>
      </w:tr>
      <w:tr>
        <w:trPr>
          <w:trHeight w:val="210"/>
        </w:trPr>
        <w:tc>
          <w:tcPr>
            <w:tcW w:w="204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w w:val="99"/>
              </w:rPr>
              <w:t>Earnings from operations</w:t>
            </w: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62,051</w:t>
            </w: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79,526</w:t>
            </w: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67,107</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16,304</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11,947</w:t>
            </w: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236,935</w:t>
            </w:r>
          </w:p>
        </w:tc>
        <w:tc>
          <w:tcPr>
            <w:tcW w:w="20" w:type="dxa"/>
            <w:vAlign w:val="bottom"/>
          </w:tcPr>
          <w:p>
            <w:pPr>
              <w:spacing w:after="0"/>
              <w:rPr>
                <w:sz w:val="18"/>
                <w:szCs w:val="18"/>
                <w:color w:val="auto"/>
              </w:rPr>
            </w:pPr>
          </w:p>
        </w:tc>
      </w:tr>
      <w:tr>
        <w:trPr>
          <w:trHeight w:val="864"/>
        </w:trPr>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2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4"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9"/>
          </w:tcPr>
          <w:p>
            <w:pPr>
              <w:spacing w:after="0"/>
              <w:rPr>
                <w:sz w:val="20"/>
                <w:szCs w:val="20"/>
                <w:color w:val="auto"/>
              </w:rPr>
            </w:pPr>
            <w:r>
              <w:rPr>
                <w:rFonts w:ascii="Arial" w:cs="Arial" w:eastAsia="Arial" w:hAnsi="Arial"/>
                <w:sz w:val="14"/>
                <w:szCs w:val="14"/>
                <w:b w:val="1"/>
                <w:bCs w:val="1"/>
                <w:color w:val="auto"/>
                <w:w w:val="98"/>
              </w:rPr>
              <w:t>Three Months Ended June 27, 2020</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304"/>
        </w:trPr>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3"/>
          </w:tcPr>
          <w:p>
            <w:pPr>
              <w:ind w:left="180"/>
              <w:spacing w:after="0"/>
              <w:rPr>
                <w:sz w:val="20"/>
                <w:szCs w:val="20"/>
                <w:color w:val="auto"/>
              </w:rPr>
            </w:pPr>
            <w:r>
              <w:rPr>
                <w:rFonts w:ascii="Arial" w:cs="Arial" w:eastAsia="Arial" w:hAnsi="Arial"/>
                <w:sz w:val="14"/>
                <w:szCs w:val="14"/>
                <w:b w:val="1"/>
                <w:bCs w:val="1"/>
                <w:color w:val="auto"/>
              </w:rPr>
              <w:t>Retail</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Industrial</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Construction</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3"/>
          </w:tcPr>
          <w:p>
            <w:pPr>
              <w:ind w:left="60"/>
              <w:spacing w:after="0"/>
              <w:rPr>
                <w:sz w:val="20"/>
                <w:szCs w:val="20"/>
                <w:color w:val="auto"/>
              </w:rPr>
            </w:pPr>
            <w:r>
              <w:rPr>
                <w:rFonts w:ascii="Arial" w:cs="Arial" w:eastAsia="Arial" w:hAnsi="Arial"/>
                <w:sz w:val="14"/>
                <w:szCs w:val="14"/>
                <w:b w:val="1"/>
                <w:bCs w:val="1"/>
                <w:color w:val="auto"/>
              </w:rPr>
              <w:t>All Other</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Corporate</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253"/>
              <w:spacing w:after="0"/>
              <w:rPr>
                <w:sz w:val="20"/>
                <w:szCs w:val="20"/>
                <w:color w:val="auto"/>
              </w:rPr>
            </w:pPr>
            <w:r>
              <w:rPr>
                <w:rFonts w:ascii="Arial" w:cs="Arial" w:eastAsia="Arial" w:hAnsi="Arial"/>
                <w:sz w:val="14"/>
                <w:szCs w:val="14"/>
                <w:b w:val="1"/>
                <w:bCs w:val="1"/>
                <w:color w:val="auto"/>
              </w:rPr>
              <w:t>Total</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609,190</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224,379</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359,170</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49,411</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1,242,001</w:t>
            </w:r>
          </w:p>
        </w:tc>
      </w:tr>
      <w:tr>
        <w:trPr>
          <w:trHeight w:val="223"/>
        </w:trPr>
        <w:tc>
          <w:tcPr>
            <w:tcW w:w="204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525,912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187,206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297,494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32,576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(6,118)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1,037,070</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83,278</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37,173</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61,676</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16,835</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5,969</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204,931</w:t>
            </w:r>
          </w:p>
        </w:tc>
      </w:tr>
      <w:tr>
        <w:trPr>
          <w:trHeight w:val="202"/>
        </w:trPr>
        <w:tc>
          <w:tcPr>
            <w:tcW w:w="2040" w:type="dxa"/>
            <w:vAlign w:val="bottom"/>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37,557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21,674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42,246</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9,163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3,141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113,781</w:t>
            </w:r>
          </w:p>
        </w:tc>
      </w:tr>
      <w:tr>
        <w:trPr>
          <w:trHeight w:val="236"/>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(112)</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(961)</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r>
      <w:tr>
        <w:trPr>
          <w:trHeight w:val="210"/>
        </w:trPr>
        <w:tc>
          <w:tcPr>
            <w:tcW w:w="204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w w:val="99"/>
              </w:rPr>
              <w:t>Earnings from operations</w:t>
            </w: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45,775</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15,420</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19,542</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8,633</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2,989</w:t>
            </w: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92,359</w:t>
            </w:r>
          </w:p>
        </w:tc>
      </w:tr>
      <w:tr>
        <w:trPr>
          <w:trHeight w:val="385"/>
        </w:trPr>
        <w:tc>
          <w:tcPr>
            <w:tcW w:w="20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rPr>
              <w:t>Six Months Ended June 26, 2021</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304"/>
        </w:trPr>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3"/>
          </w:tcPr>
          <w:p>
            <w:pPr>
              <w:ind w:left="160"/>
              <w:spacing w:after="0"/>
              <w:rPr>
                <w:sz w:val="20"/>
                <w:szCs w:val="20"/>
                <w:color w:val="auto"/>
              </w:rPr>
            </w:pPr>
            <w:r>
              <w:rPr>
                <w:rFonts w:ascii="Arial" w:cs="Arial" w:eastAsia="Arial" w:hAnsi="Arial"/>
                <w:sz w:val="14"/>
                <w:szCs w:val="14"/>
                <w:b w:val="1"/>
                <w:bCs w:val="1"/>
                <w:color w:val="auto"/>
              </w:rPr>
              <w:t>Retail</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Industrial</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4"/>
          </w:tcPr>
          <w:p>
            <w:pPr>
              <w:ind w:left="60"/>
              <w:spacing w:after="0"/>
              <w:rPr>
                <w:sz w:val="20"/>
                <w:szCs w:val="20"/>
                <w:color w:val="auto"/>
              </w:rPr>
            </w:pPr>
            <w:r>
              <w:rPr>
                <w:rFonts w:ascii="Arial" w:cs="Arial" w:eastAsia="Arial" w:hAnsi="Arial"/>
                <w:sz w:val="14"/>
                <w:szCs w:val="14"/>
                <w:b w:val="1"/>
                <w:bCs w:val="1"/>
                <w:color w:val="auto"/>
              </w:rPr>
              <w:t>Construction</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All Other</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Corporate</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273"/>
              <w:spacing w:after="0"/>
              <w:rPr>
                <w:sz w:val="20"/>
                <w:szCs w:val="20"/>
                <w:color w:val="auto"/>
              </w:rPr>
            </w:pPr>
            <w:r>
              <w:rPr>
                <w:rFonts w:ascii="Arial" w:cs="Arial" w:eastAsia="Arial" w:hAnsi="Arial"/>
                <w:sz w:val="14"/>
                <w:szCs w:val="14"/>
                <w:b w:val="1"/>
                <w:bCs w:val="1"/>
                <w:color w:val="auto"/>
              </w:rPr>
              <w:t>Total</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2,018,239</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1,060,055</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1,298,234</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145,047</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4,525,545</w:t>
            </w:r>
          </w:p>
        </w:tc>
      </w:tr>
      <w:tr>
        <w:trPr>
          <w:trHeight w:val="223"/>
        </w:trPr>
        <w:tc>
          <w:tcPr>
            <w:tcW w:w="2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1,795,435</w:t>
            </w: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845,280</w:t>
            </w: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1,075,260</w:t>
            </w: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97,771</w:t>
            </w: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3,951</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3,817,697</w:t>
            </w:r>
          </w:p>
        </w:tc>
      </w:tr>
      <w:tr>
        <w:trPr>
          <w:trHeight w:val="216"/>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222,804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214,775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222,974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47,276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707,848</w:t>
            </w:r>
          </w:p>
        </w:tc>
      </w:tr>
      <w:tr>
        <w:trPr>
          <w:trHeight w:val="202"/>
        </w:trPr>
        <w:tc>
          <w:tcPr>
            <w:tcW w:w="2040" w:type="dxa"/>
            <w:vAlign w:val="bottom"/>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107,476</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95,016</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122,481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24,025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(14,361)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334,637</w:t>
            </w:r>
          </w:p>
        </w:tc>
      </w:tr>
      <w:tr>
        <w:trPr>
          <w:trHeight w:val="236"/>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(268)</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(1,031)</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r>
      <w:tr>
        <w:trPr>
          <w:trHeight w:val="210"/>
        </w:trPr>
        <w:tc>
          <w:tcPr>
            <w:tcW w:w="204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w w:val="99"/>
              </w:rPr>
              <w:t>Earnings from operations</w:t>
            </w: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115,596</w:t>
            </w: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119,936</w:t>
            </w: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100,125</w:t>
            </w: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gridSpan w:val="2"/>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24,282</w:t>
            </w: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14,483</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374,422</w:t>
            </w:r>
          </w:p>
        </w:tc>
      </w:tr>
      <w:tr>
        <w:trPr>
          <w:trHeight w:val="385"/>
        </w:trPr>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rPr>
              <w:t>Six Months Ended June 27, 2020</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304"/>
        </w:trPr>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3"/>
          </w:tcPr>
          <w:p>
            <w:pPr>
              <w:ind w:left="180"/>
              <w:spacing w:after="0"/>
              <w:rPr>
                <w:sz w:val="20"/>
                <w:szCs w:val="20"/>
                <w:color w:val="auto"/>
              </w:rPr>
            </w:pPr>
            <w:r>
              <w:rPr>
                <w:rFonts w:ascii="Arial" w:cs="Arial" w:eastAsia="Arial" w:hAnsi="Arial"/>
                <w:sz w:val="14"/>
                <w:szCs w:val="14"/>
                <w:b w:val="1"/>
                <w:bCs w:val="1"/>
                <w:color w:val="auto"/>
              </w:rPr>
              <w:t>Retail</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Industrial</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Construction</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3"/>
          </w:tcPr>
          <w:p>
            <w:pPr>
              <w:ind w:left="60"/>
              <w:spacing w:after="0"/>
              <w:rPr>
                <w:sz w:val="20"/>
                <w:szCs w:val="20"/>
                <w:color w:val="auto"/>
              </w:rPr>
            </w:pPr>
            <w:r>
              <w:rPr>
                <w:rFonts w:ascii="Arial" w:cs="Arial" w:eastAsia="Arial" w:hAnsi="Arial"/>
                <w:sz w:val="14"/>
                <w:szCs w:val="14"/>
                <w:b w:val="1"/>
                <w:bCs w:val="1"/>
                <w:color w:val="auto"/>
              </w:rPr>
              <w:t>All Other</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Corporate</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253"/>
              <w:spacing w:after="0"/>
              <w:rPr>
                <w:sz w:val="20"/>
                <w:szCs w:val="20"/>
                <w:color w:val="auto"/>
              </w:rPr>
            </w:pPr>
            <w:r>
              <w:rPr>
                <w:rFonts w:ascii="Arial" w:cs="Arial" w:eastAsia="Arial" w:hAnsi="Arial"/>
                <w:sz w:val="14"/>
                <w:szCs w:val="14"/>
                <w:b w:val="1"/>
                <w:bCs w:val="1"/>
                <w:color w:val="auto"/>
              </w:rPr>
              <w:t>Total</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961,351</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480,922</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740,325</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91,804</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2,274,063</w:t>
            </w:r>
          </w:p>
        </w:tc>
      </w:tr>
      <w:tr>
        <w:trPr>
          <w:trHeight w:val="223"/>
        </w:trPr>
        <w:tc>
          <w:tcPr>
            <w:tcW w:w="204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834,333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401,453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617,903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62,698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(14,491)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1,901,896</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127,018</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79,469</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122,422</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29,106</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14,152</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372,167</w:t>
            </w:r>
          </w:p>
        </w:tc>
      </w:tr>
      <w:tr>
        <w:trPr>
          <w:trHeight w:val="202"/>
        </w:trPr>
        <w:tc>
          <w:tcPr>
            <w:tcW w:w="2040" w:type="dxa"/>
            <w:vAlign w:val="bottom"/>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67,081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47,582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88,687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17,729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2,042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223,121</w:t>
            </w:r>
          </w:p>
        </w:tc>
      </w:tr>
      <w:tr>
        <w:trPr>
          <w:trHeight w:val="236"/>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(296)</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(1,747)</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w:t>
            </w:r>
          </w:p>
        </w:tc>
      </w:tr>
      <w:tr>
        <w:trPr>
          <w:trHeight w:val="210"/>
        </w:trPr>
        <w:tc>
          <w:tcPr>
            <w:tcW w:w="204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w w:val="99"/>
              </w:rPr>
              <w:t>Earnings from operations</w:t>
            </w: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59,901</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31,800</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34,031</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13,124</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12,134</w:t>
            </w: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150,990</w:t>
            </w:r>
          </w:p>
        </w:tc>
      </w:tr>
    </w:tbl>
    <w:p>
      <w:pPr>
        <w:spacing w:after="0" w:line="20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tables present the components of our operating results, for the periods indicated, as a percentage of net sales by segment.</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16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4"/>
                <w:szCs w:val="14"/>
                <w:b w:val="1"/>
                <w:bCs w:val="1"/>
                <w:color w:val="auto"/>
                <w:w w:val="98"/>
              </w:rPr>
              <w:t>Three Months Ended June 26, 2021</w:t>
            </w: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r>
      <w:tr>
        <w:trPr>
          <w:trHeight w:val="304"/>
        </w:trPr>
        <w:tc>
          <w:tcPr>
            <w:tcW w:w="2160" w:type="dxa"/>
            <w:vAlign w:val="bottom"/>
          </w:tcPr>
          <w:p>
            <w:pPr>
              <w:spacing w:after="0"/>
              <w:rPr>
                <w:sz w:val="24"/>
                <w:szCs w:val="24"/>
                <w:color w:val="auto"/>
              </w:rPr>
            </w:pPr>
          </w:p>
        </w:tc>
        <w:tc>
          <w:tcPr>
            <w:tcW w:w="112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Retail</w:t>
            </w:r>
          </w:p>
        </w:tc>
        <w:tc>
          <w:tcPr>
            <w:tcW w:w="1120" w:type="dxa"/>
            <w:vAlign w:val="bottom"/>
            <w:gridSpan w:val="2"/>
          </w:tcPr>
          <w:p>
            <w:pPr>
              <w:jc w:val="right"/>
              <w:ind w:right="256"/>
              <w:spacing w:after="0"/>
              <w:rPr>
                <w:sz w:val="20"/>
                <w:szCs w:val="20"/>
                <w:color w:val="auto"/>
              </w:rPr>
            </w:pPr>
            <w:r>
              <w:rPr>
                <w:rFonts w:ascii="Arial" w:cs="Arial" w:eastAsia="Arial" w:hAnsi="Arial"/>
                <w:sz w:val="14"/>
                <w:szCs w:val="14"/>
                <w:b w:val="1"/>
                <w:bCs w:val="1"/>
                <w:color w:val="auto"/>
              </w:rPr>
              <w:t>Industrial</w:t>
            </w:r>
          </w:p>
        </w:tc>
        <w:tc>
          <w:tcPr>
            <w:tcW w:w="112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96"/>
              </w:rPr>
              <w:t>Construction</w:t>
            </w:r>
          </w:p>
        </w:tc>
        <w:tc>
          <w:tcPr>
            <w:tcW w:w="112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All Other</w:t>
            </w: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Corporate</w:t>
            </w:r>
          </w:p>
        </w:tc>
        <w:tc>
          <w:tcPr>
            <w:tcW w:w="114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Total</w:t>
            </w: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23"/>
        </w:trPr>
        <w:tc>
          <w:tcPr>
            <w:tcW w:w="21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920" w:type="dxa"/>
            <w:vAlign w:val="bottom"/>
          </w:tcPr>
          <w:p>
            <w:pPr>
              <w:jc w:val="right"/>
              <w:spacing w:after="0"/>
              <w:rPr>
                <w:sz w:val="20"/>
                <w:szCs w:val="20"/>
                <w:color w:val="auto"/>
              </w:rPr>
            </w:pPr>
            <w:r>
              <w:rPr>
                <w:rFonts w:ascii="Arial" w:cs="Arial" w:eastAsia="Arial" w:hAnsi="Arial"/>
                <w:sz w:val="18"/>
                <w:szCs w:val="18"/>
                <w:color w:val="auto"/>
              </w:rPr>
              <w:t>90.3</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78.0</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81.8</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66.8</w:t>
            </w:r>
          </w:p>
        </w:tc>
        <w:tc>
          <w:tcPr>
            <w:tcW w:w="2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84.4</w:t>
            </w:r>
          </w:p>
        </w:tc>
        <w:tc>
          <w:tcPr>
            <w:tcW w:w="180" w:type="dxa"/>
            <w:vAlign w:val="bottom"/>
          </w:tcPr>
          <w:p>
            <w:pPr>
              <w:spacing w:after="0"/>
              <w:rPr>
                <w:sz w:val="19"/>
                <w:szCs w:val="19"/>
                <w:color w:val="auto"/>
              </w:rPr>
            </w:pP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80" w:type="dxa"/>
            <w:vAlign w:val="bottom"/>
            <w:tcBorders>
              <w:top w:val="single" w:sz="8" w:color="CCEEFF"/>
            </w:tcBorders>
            <w:shd w:val="clear" w:color="auto" w:fill="CCEEFF"/>
          </w:tcPr>
          <w:p>
            <w:pPr>
              <w:spacing w:after="0"/>
              <w:rPr>
                <w:sz w:val="18"/>
                <w:szCs w:val="18"/>
                <w:color w:val="auto"/>
              </w:rPr>
            </w:pPr>
          </w:p>
        </w:tc>
      </w:tr>
      <w:tr>
        <w:trPr>
          <w:trHeight w:val="202"/>
        </w:trPr>
        <w:tc>
          <w:tcPr>
            <w:tcW w:w="2160" w:type="dxa"/>
            <w:vAlign w:val="bottom"/>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92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w:t>
            </w:r>
          </w:p>
        </w:tc>
        <w:tc>
          <w:tcPr>
            <w:tcW w:w="20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20"/>
                <w:szCs w:val="20"/>
                <w:color w:val="auto"/>
              </w:rPr>
            </w:pPr>
          </w:p>
        </w:tc>
      </w:tr>
      <w:tr>
        <w:trPr>
          <w:trHeight w:val="236"/>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10"/>
        </w:trPr>
        <w:tc>
          <w:tcPr>
            <w:tcW w:w="216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rPr>
              <w:t>Earnings from operations</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13.0</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9.1</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18.2</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8.8</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r>
    </w:tbl>
    <w:p>
      <w:pPr>
        <w:spacing w:after="0" w:line="35" w:lineRule="exact"/>
        <w:rPr>
          <w:sz w:val="20"/>
          <w:szCs w:val="20"/>
          <w:color w:val="auto"/>
        </w:rPr>
      </w:pPr>
    </w:p>
    <w:p>
      <w:pPr>
        <w:ind w:left="60"/>
        <w:spacing w:after="0"/>
        <w:rPr>
          <w:sz w:val="20"/>
          <w:szCs w:val="20"/>
          <w:color w:val="auto"/>
        </w:rPr>
      </w:pPr>
      <w:r>
        <w:rPr>
          <w:rFonts w:ascii="Arial" w:cs="Arial" w:eastAsia="Arial" w:hAnsi="Arial"/>
          <w:sz w:val="14"/>
          <w:szCs w:val="14"/>
          <w:color w:val="auto"/>
        </w:rPr>
        <w:t>Note: Actual percentages are calculated and may not sum to total due to rounding.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16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4"/>
                <w:szCs w:val="14"/>
                <w:b w:val="1"/>
                <w:bCs w:val="1"/>
                <w:color w:val="auto"/>
                <w:w w:val="98"/>
              </w:rPr>
              <w:t>Three Months Ended June 27, 2020</w:t>
            </w: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r>
      <w:tr>
        <w:trPr>
          <w:trHeight w:val="304"/>
        </w:trPr>
        <w:tc>
          <w:tcPr>
            <w:tcW w:w="2160" w:type="dxa"/>
            <w:vAlign w:val="bottom"/>
          </w:tcPr>
          <w:p>
            <w:pPr>
              <w:spacing w:after="0"/>
              <w:rPr>
                <w:sz w:val="24"/>
                <w:szCs w:val="24"/>
                <w:color w:val="auto"/>
              </w:rPr>
            </w:pPr>
          </w:p>
        </w:tc>
        <w:tc>
          <w:tcPr>
            <w:tcW w:w="112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Retail</w:t>
            </w:r>
          </w:p>
        </w:tc>
        <w:tc>
          <w:tcPr>
            <w:tcW w:w="1120" w:type="dxa"/>
            <w:vAlign w:val="bottom"/>
            <w:gridSpan w:val="2"/>
          </w:tcPr>
          <w:p>
            <w:pPr>
              <w:jc w:val="right"/>
              <w:ind w:right="253"/>
              <w:spacing w:after="0"/>
              <w:rPr>
                <w:sz w:val="20"/>
                <w:szCs w:val="20"/>
                <w:color w:val="auto"/>
              </w:rPr>
            </w:pPr>
            <w:r>
              <w:rPr>
                <w:rFonts w:ascii="Arial" w:cs="Arial" w:eastAsia="Arial" w:hAnsi="Arial"/>
                <w:sz w:val="14"/>
                <w:szCs w:val="14"/>
                <w:b w:val="1"/>
                <w:bCs w:val="1"/>
                <w:color w:val="auto"/>
              </w:rPr>
              <w:t>Industrial</w:t>
            </w:r>
          </w:p>
        </w:tc>
        <w:tc>
          <w:tcPr>
            <w:tcW w:w="112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96"/>
              </w:rPr>
              <w:t>Construction</w:t>
            </w:r>
          </w:p>
        </w:tc>
        <w:tc>
          <w:tcPr>
            <w:tcW w:w="112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All Other</w:t>
            </w: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Corporate</w:t>
            </w:r>
          </w:p>
        </w:tc>
        <w:tc>
          <w:tcPr>
            <w:tcW w:w="114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Total</w:t>
            </w: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23"/>
        </w:trPr>
        <w:tc>
          <w:tcPr>
            <w:tcW w:w="21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920" w:type="dxa"/>
            <w:vAlign w:val="bottom"/>
          </w:tcPr>
          <w:p>
            <w:pPr>
              <w:jc w:val="right"/>
              <w:spacing w:after="0"/>
              <w:rPr>
                <w:sz w:val="20"/>
                <w:szCs w:val="20"/>
                <w:color w:val="auto"/>
              </w:rPr>
            </w:pPr>
            <w:r>
              <w:rPr>
                <w:rFonts w:ascii="Arial" w:cs="Arial" w:eastAsia="Arial" w:hAnsi="Arial"/>
                <w:sz w:val="18"/>
                <w:szCs w:val="18"/>
                <w:color w:val="auto"/>
              </w:rPr>
              <w:t>86.3</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83.4</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82.8</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65.9</w:t>
            </w:r>
          </w:p>
        </w:tc>
        <w:tc>
          <w:tcPr>
            <w:tcW w:w="2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83.5</w:t>
            </w:r>
          </w:p>
        </w:tc>
        <w:tc>
          <w:tcPr>
            <w:tcW w:w="180" w:type="dxa"/>
            <w:vAlign w:val="bottom"/>
          </w:tcPr>
          <w:p>
            <w:pPr>
              <w:spacing w:after="0"/>
              <w:rPr>
                <w:sz w:val="19"/>
                <w:szCs w:val="19"/>
                <w:color w:val="auto"/>
              </w:rPr>
            </w:pP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80" w:type="dxa"/>
            <w:vAlign w:val="bottom"/>
            <w:tcBorders>
              <w:top w:val="single" w:sz="8" w:color="CCEEFF"/>
            </w:tcBorders>
            <w:shd w:val="clear" w:color="auto" w:fill="CCEEFF"/>
          </w:tcPr>
          <w:p>
            <w:pPr>
              <w:spacing w:after="0"/>
              <w:rPr>
                <w:sz w:val="18"/>
                <w:szCs w:val="18"/>
                <w:color w:val="auto"/>
              </w:rPr>
            </w:pPr>
          </w:p>
        </w:tc>
      </w:tr>
      <w:tr>
        <w:trPr>
          <w:trHeight w:val="202"/>
        </w:trPr>
        <w:tc>
          <w:tcPr>
            <w:tcW w:w="2160" w:type="dxa"/>
            <w:vAlign w:val="bottom"/>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92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18.5</w:t>
            </w:r>
          </w:p>
        </w:tc>
        <w:tc>
          <w:tcPr>
            <w:tcW w:w="20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20"/>
                <w:szCs w:val="20"/>
                <w:color w:val="auto"/>
              </w:rPr>
            </w:pPr>
          </w:p>
        </w:tc>
      </w:tr>
      <w:tr>
        <w:trPr>
          <w:trHeight w:val="236"/>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(1.9)</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r>
      <w:tr>
        <w:trPr>
          <w:trHeight w:val="210"/>
        </w:trPr>
        <w:tc>
          <w:tcPr>
            <w:tcW w:w="216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rPr>
              <w:t>Earnings from operations</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6.9</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17.5</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r>
      <w:tr>
        <w:trPr>
          <w:trHeight w:val="217"/>
        </w:trPr>
        <w:tc>
          <w:tcPr>
            <w:tcW w:w="5520" w:type="dxa"/>
            <w:vAlign w:val="bottom"/>
            <w:gridSpan w:val="7"/>
          </w:tcPr>
          <w:p>
            <w:pPr>
              <w:ind w:left="20"/>
              <w:spacing w:after="0"/>
              <w:rPr>
                <w:sz w:val="20"/>
                <w:szCs w:val="20"/>
                <w:color w:val="auto"/>
              </w:rPr>
            </w:pPr>
            <w:r>
              <w:rPr>
                <w:rFonts w:ascii="Arial" w:cs="Arial" w:eastAsia="Arial" w:hAnsi="Arial"/>
                <w:sz w:val="14"/>
                <w:szCs w:val="14"/>
                <w:color w:val="auto"/>
              </w:rPr>
              <w:t>Note: Actual percentages are calculated and may not sum to total due to rounding.</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70"/>
        </w:trPr>
        <w:tc>
          <w:tcPr>
            <w:tcW w:w="21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4"/>
                <w:szCs w:val="14"/>
                <w:b w:val="1"/>
                <w:bCs w:val="1"/>
                <w:color w:val="auto"/>
                <w:w w:val="93"/>
              </w:rPr>
              <w:t>Six Months Ended June 26, 2021</w:t>
            </w: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304"/>
        </w:trPr>
        <w:tc>
          <w:tcPr>
            <w:tcW w:w="2160" w:type="dxa"/>
            <w:vAlign w:val="bottom"/>
          </w:tcPr>
          <w:p>
            <w:pPr>
              <w:spacing w:after="0"/>
              <w:rPr>
                <w:sz w:val="24"/>
                <w:szCs w:val="24"/>
                <w:color w:val="auto"/>
              </w:rPr>
            </w:pPr>
          </w:p>
        </w:tc>
        <w:tc>
          <w:tcPr>
            <w:tcW w:w="112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Retail</w:t>
            </w:r>
          </w:p>
        </w:tc>
        <w:tc>
          <w:tcPr>
            <w:tcW w:w="1120" w:type="dxa"/>
            <w:vAlign w:val="bottom"/>
            <w:gridSpan w:val="2"/>
          </w:tcPr>
          <w:p>
            <w:pPr>
              <w:jc w:val="right"/>
              <w:ind w:right="253"/>
              <w:spacing w:after="0"/>
              <w:rPr>
                <w:sz w:val="20"/>
                <w:szCs w:val="20"/>
                <w:color w:val="auto"/>
              </w:rPr>
            </w:pPr>
            <w:r>
              <w:rPr>
                <w:rFonts w:ascii="Arial" w:cs="Arial" w:eastAsia="Arial" w:hAnsi="Arial"/>
                <w:sz w:val="14"/>
                <w:szCs w:val="14"/>
                <w:b w:val="1"/>
                <w:bCs w:val="1"/>
                <w:color w:val="auto"/>
              </w:rPr>
              <w:t>Industrial</w:t>
            </w:r>
          </w:p>
        </w:tc>
        <w:tc>
          <w:tcPr>
            <w:tcW w:w="112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96"/>
              </w:rPr>
              <w:t>Construction</w:t>
            </w:r>
          </w:p>
        </w:tc>
        <w:tc>
          <w:tcPr>
            <w:tcW w:w="112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All Other</w:t>
            </w: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Corporate</w:t>
            </w:r>
          </w:p>
        </w:tc>
        <w:tc>
          <w:tcPr>
            <w:tcW w:w="114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Total</w:t>
            </w: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23"/>
        </w:trPr>
        <w:tc>
          <w:tcPr>
            <w:tcW w:w="21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920" w:type="dxa"/>
            <w:vAlign w:val="bottom"/>
          </w:tcPr>
          <w:p>
            <w:pPr>
              <w:jc w:val="right"/>
              <w:spacing w:after="0"/>
              <w:rPr>
                <w:sz w:val="20"/>
                <w:szCs w:val="20"/>
                <w:color w:val="auto"/>
              </w:rPr>
            </w:pPr>
            <w:r>
              <w:rPr>
                <w:rFonts w:ascii="Arial" w:cs="Arial" w:eastAsia="Arial" w:hAnsi="Arial"/>
                <w:sz w:val="18"/>
                <w:szCs w:val="18"/>
                <w:color w:val="auto"/>
              </w:rPr>
              <w:t>89.0</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79.7</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82.8</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67.4</w:t>
            </w:r>
          </w:p>
        </w:tc>
        <w:tc>
          <w:tcPr>
            <w:tcW w:w="2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84.4</w:t>
            </w:r>
          </w:p>
        </w:tc>
        <w:tc>
          <w:tcPr>
            <w:tcW w:w="180" w:type="dxa"/>
            <w:vAlign w:val="bottom"/>
          </w:tcPr>
          <w:p>
            <w:pPr>
              <w:spacing w:after="0"/>
              <w:rPr>
                <w:sz w:val="19"/>
                <w:szCs w:val="19"/>
                <w:color w:val="auto"/>
              </w:rPr>
            </w:pP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80" w:type="dxa"/>
            <w:vAlign w:val="bottom"/>
            <w:tcBorders>
              <w:top w:val="single" w:sz="8" w:color="CCEEFF"/>
            </w:tcBorders>
            <w:shd w:val="clear" w:color="auto" w:fill="CCEEFF"/>
          </w:tcPr>
          <w:p>
            <w:pPr>
              <w:spacing w:after="0"/>
              <w:rPr>
                <w:sz w:val="18"/>
                <w:szCs w:val="18"/>
                <w:color w:val="auto"/>
              </w:rPr>
            </w:pPr>
          </w:p>
        </w:tc>
      </w:tr>
      <w:tr>
        <w:trPr>
          <w:trHeight w:val="202"/>
        </w:trPr>
        <w:tc>
          <w:tcPr>
            <w:tcW w:w="2160" w:type="dxa"/>
            <w:vAlign w:val="bottom"/>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92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16.6</w:t>
            </w:r>
          </w:p>
        </w:tc>
        <w:tc>
          <w:tcPr>
            <w:tcW w:w="20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20"/>
                <w:szCs w:val="20"/>
                <w:color w:val="auto"/>
              </w:rPr>
            </w:pPr>
          </w:p>
        </w:tc>
      </w:tr>
      <w:tr>
        <w:trPr>
          <w:trHeight w:val="236"/>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(0.7)</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10"/>
        </w:trPr>
        <w:tc>
          <w:tcPr>
            <w:tcW w:w="216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rPr>
              <w:t>Earnings from operations</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5.7</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11.3</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7.7</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16.7</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8.3</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r>
      <w:tr>
        <w:trPr>
          <w:trHeight w:val="217"/>
        </w:trPr>
        <w:tc>
          <w:tcPr>
            <w:tcW w:w="5520" w:type="dxa"/>
            <w:vAlign w:val="bottom"/>
            <w:gridSpan w:val="7"/>
          </w:tcPr>
          <w:p>
            <w:pPr>
              <w:ind w:left="20"/>
              <w:spacing w:after="0"/>
              <w:rPr>
                <w:sz w:val="20"/>
                <w:szCs w:val="20"/>
                <w:color w:val="auto"/>
              </w:rPr>
            </w:pPr>
            <w:r>
              <w:rPr>
                <w:rFonts w:ascii="Arial" w:cs="Arial" w:eastAsia="Arial" w:hAnsi="Arial"/>
                <w:sz w:val="14"/>
                <w:szCs w:val="14"/>
                <w:color w:val="auto"/>
              </w:rPr>
              <w:t>Note: Actual percentages are calculated and may not sum to total due to rounding.</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70"/>
        </w:trPr>
        <w:tc>
          <w:tcPr>
            <w:tcW w:w="21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4"/>
                <w:szCs w:val="14"/>
                <w:b w:val="1"/>
                <w:bCs w:val="1"/>
                <w:color w:val="auto"/>
                <w:w w:val="93"/>
              </w:rPr>
              <w:t>Six Months Ended June 27, 2020</w:t>
            </w: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304"/>
        </w:trPr>
        <w:tc>
          <w:tcPr>
            <w:tcW w:w="2160" w:type="dxa"/>
            <w:vAlign w:val="bottom"/>
          </w:tcPr>
          <w:p>
            <w:pPr>
              <w:spacing w:after="0"/>
              <w:rPr>
                <w:sz w:val="24"/>
                <w:szCs w:val="24"/>
                <w:color w:val="auto"/>
              </w:rPr>
            </w:pPr>
          </w:p>
        </w:tc>
        <w:tc>
          <w:tcPr>
            <w:tcW w:w="112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Retail</w:t>
            </w:r>
          </w:p>
        </w:tc>
        <w:tc>
          <w:tcPr>
            <w:tcW w:w="1120" w:type="dxa"/>
            <w:vAlign w:val="bottom"/>
            <w:gridSpan w:val="2"/>
          </w:tcPr>
          <w:p>
            <w:pPr>
              <w:jc w:val="right"/>
              <w:ind w:right="253"/>
              <w:spacing w:after="0"/>
              <w:rPr>
                <w:sz w:val="20"/>
                <w:szCs w:val="20"/>
                <w:color w:val="auto"/>
              </w:rPr>
            </w:pPr>
            <w:r>
              <w:rPr>
                <w:rFonts w:ascii="Arial" w:cs="Arial" w:eastAsia="Arial" w:hAnsi="Arial"/>
                <w:sz w:val="14"/>
                <w:szCs w:val="14"/>
                <w:b w:val="1"/>
                <w:bCs w:val="1"/>
                <w:color w:val="auto"/>
              </w:rPr>
              <w:t>Industrial</w:t>
            </w:r>
          </w:p>
        </w:tc>
        <w:tc>
          <w:tcPr>
            <w:tcW w:w="112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96"/>
              </w:rPr>
              <w:t>Construction</w:t>
            </w:r>
          </w:p>
        </w:tc>
        <w:tc>
          <w:tcPr>
            <w:tcW w:w="112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All Other</w:t>
            </w: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Corporate</w:t>
            </w:r>
          </w:p>
        </w:tc>
        <w:tc>
          <w:tcPr>
            <w:tcW w:w="114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Total</w:t>
            </w: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23"/>
        </w:trPr>
        <w:tc>
          <w:tcPr>
            <w:tcW w:w="21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920" w:type="dxa"/>
            <w:vAlign w:val="bottom"/>
          </w:tcPr>
          <w:p>
            <w:pPr>
              <w:jc w:val="right"/>
              <w:spacing w:after="0"/>
              <w:rPr>
                <w:sz w:val="20"/>
                <w:szCs w:val="20"/>
                <w:color w:val="auto"/>
              </w:rPr>
            </w:pPr>
            <w:r>
              <w:rPr>
                <w:rFonts w:ascii="Arial" w:cs="Arial" w:eastAsia="Arial" w:hAnsi="Arial"/>
                <w:sz w:val="18"/>
                <w:szCs w:val="18"/>
                <w:color w:val="auto"/>
              </w:rPr>
              <w:t>86.8</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83.5</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83.5</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68.3</w:t>
            </w:r>
          </w:p>
        </w:tc>
        <w:tc>
          <w:tcPr>
            <w:tcW w:w="2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83.6</w:t>
            </w:r>
          </w:p>
        </w:tc>
        <w:tc>
          <w:tcPr>
            <w:tcW w:w="180" w:type="dxa"/>
            <w:vAlign w:val="bottom"/>
          </w:tcPr>
          <w:p>
            <w:pPr>
              <w:spacing w:after="0"/>
              <w:rPr>
                <w:sz w:val="19"/>
                <w:szCs w:val="19"/>
                <w:color w:val="auto"/>
              </w:rPr>
            </w:pP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80" w:type="dxa"/>
            <w:vAlign w:val="bottom"/>
            <w:tcBorders>
              <w:top w:val="single" w:sz="8" w:color="CCEEFF"/>
            </w:tcBorders>
            <w:shd w:val="clear" w:color="auto" w:fill="CCEEFF"/>
          </w:tcPr>
          <w:p>
            <w:pPr>
              <w:spacing w:after="0"/>
              <w:rPr>
                <w:sz w:val="18"/>
                <w:szCs w:val="18"/>
                <w:color w:val="auto"/>
              </w:rPr>
            </w:pPr>
          </w:p>
        </w:tc>
      </w:tr>
      <w:tr>
        <w:trPr>
          <w:trHeight w:val="202"/>
        </w:trPr>
        <w:tc>
          <w:tcPr>
            <w:tcW w:w="2160" w:type="dxa"/>
            <w:vAlign w:val="bottom"/>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920" w:type="dxa"/>
            <w:vAlign w:val="bottom"/>
          </w:tcPr>
          <w:p>
            <w:pPr>
              <w:jc w:val="right"/>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19.3</w:t>
            </w:r>
          </w:p>
        </w:tc>
        <w:tc>
          <w:tcPr>
            <w:tcW w:w="20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20"/>
                <w:szCs w:val="20"/>
                <w:color w:val="auto"/>
              </w:rPr>
            </w:pPr>
          </w:p>
        </w:tc>
      </w:tr>
      <w:tr>
        <w:trPr>
          <w:trHeight w:val="236"/>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(1.9)</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r>
      <w:tr>
        <w:trPr>
          <w:trHeight w:val="210"/>
        </w:trPr>
        <w:tc>
          <w:tcPr>
            <w:tcW w:w="216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rPr>
              <w:t>Earnings from operations</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6.6</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14.3</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6.6</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r>
    </w:tbl>
    <w:p>
      <w:pPr>
        <w:spacing w:after="0" w:line="35" w:lineRule="exact"/>
        <w:rPr>
          <w:sz w:val="20"/>
          <w:szCs w:val="20"/>
          <w:color w:val="auto"/>
        </w:rPr>
      </w:pPr>
    </w:p>
    <w:p>
      <w:pPr>
        <w:ind w:left="60"/>
        <w:spacing w:after="0"/>
        <w:rPr>
          <w:sz w:val="20"/>
          <w:szCs w:val="20"/>
          <w:color w:val="auto"/>
        </w:rPr>
      </w:pPr>
      <w:r>
        <w:rPr>
          <w:rFonts w:ascii="Arial" w:cs="Arial" w:eastAsia="Arial" w:hAnsi="Arial"/>
          <w:sz w:val="14"/>
          <w:szCs w:val="14"/>
          <w:color w:val="auto"/>
        </w:rPr>
        <w:t>Note: Actual percentages are calculated and may not sum to total due to rounding.</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SALES</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primarily design, manufacture and market wood and wood-alternative products for national home centers and other retailers, structural lumber and other products for the manufactured housing industry, engineered wood components for residential and commercial construction, customized interior fixtures used in a variety of retail stores, commercial, and other structures, and specialty wood packaging, components and packing materials for various industries. Our strategic long-term sales objectives include:</w:t>
      </w:r>
    </w:p>
    <w:p>
      <w:pPr>
        <w:spacing w:after="0" w:line="188" w:lineRule="exact"/>
        <w:rPr>
          <w:sz w:val="20"/>
          <w:szCs w:val="20"/>
          <w:color w:val="auto"/>
        </w:rPr>
      </w:pPr>
    </w:p>
    <w:p>
      <w:pPr>
        <w:jc w:val="both"/>
        <w:ind w:left="380" w:right="79" w:hanging="330"/>
        <w:spacing w:after="0" w:line="263"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Maximizing unit sales growth while achieving return on investment goals.</w:t>
      </w:r>
      <w:r>
        <w:rPr>
          <w:rFonts w:ascii="Arial" w:cs="Arial" w:eastAsia="Arial" w:hAnsi="Arial"/>
          <w:sz w:val="18"/>
          <w:szCs w:val="18"/>
          <w:color w:val="auto"/>
        </w:rPr>
        <w:t xml:space="preserve"> The following table presents estimates, for the periods indicated, of our percentage change in net sales which were attributable to changes in overall selling prices versus changes in units shipped.</w:t>
      </w:r>
    </w:p>
    <w:p>
      <w:pPr>
        <w:spacing w:after="0" w:line="188" w:lineRule="exact"/>
        <w:rPr>
          <w:rFonts w:ascii="Arial" w:cs="Arial" w:eastAsia="Arial" w:hAnsi="Arial"/>
          <w:sz w:val="18"/>
          <w:szCs w:val="18"/>
          <w:color w:val="auto"/>
        </w:rPr>
      </w:pPr>
    </w:p>
    <w:p>
      <w:pPr>
        <w:ind w:left="6700" w:hanging="185"/>
        <w:spacing w:after="0"/>
        <w:tabs>
          <w:tab w:leader="none" w:pos="6700" w:val="left"/>
        </w:tabs>
        <w:numPr>
          <w:ilvl w:val="1"/>
          <w:numId w:val="19"/>
        </w:numPr>
        <w:rPr>
          <w:rFonts w:ascii="Arial" w:cs="Arial" w:eastAsia="Arial" w:hAnsi="Arial"/>
          <w:sz w:val="14"/>
          <w:szCs w:val="14"/>
          <w:b w:val="1"/>
          <w:bCs w:val="1"/>
          <w:color w:val="auto"/>
        </w:rPr>
      </w:pPr>
      <w:r>
        <w:rPr>
          <w:rFonts w:ascii="Arial" w:cs="Arial" w:eastAsia="Arial" w:hAnsi="Arial"/>
          <w:sz w:val="14"/>
          <w:szCs w:val="14"/>
          <w:b w:val="1"/>
          <w:bCs w:val="1"/>
          <w:color w:val="auto"/>
        </w:rPr>
        <w:t>Change</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33"/>
        </w:trPr>
        <w:tc>
          <w:tcPr>
            <w:tcW w:w="470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89"/>
              </w:rPr>
              <w:t>in Selling</w:t>
            </w:r>
          </w:p>
        </w:tc>
        <w:tc>
          <w:tcPr>
            <w:tcW w:w="2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center"/>
              <w:ind w:right="170"/>
              <w:spacing w:after="0" w:line="133" w:lineRule="exact"/>
              <w:rPr>
                <w:sz w:val="20"/>
                <w:szCs w:val="20"/>
                <w:color w:val="auto"/>
              </w:rPr>
            </w:pPr>
            <w:r>
              <w:rPr>
                <w:rFonts w:ascii="Arial" w:cs="Arial" w:eastAsia="Arial" w:hAnsi="Arial"/>
                <w:sz w:val="14"/>
                <w:szCs w:val="14"/>
                <w:b w:val="1"/>
                <w:bCs w:val="1"/>
                <w:color w:val="auto"/>
                <w:w w:val="91"/>
              </w:rPr>
              <w:t>Acquisition</w:t>
            </w:r>
          </w:p>
        </w:tc>
        <w:tc>
          <w:tcPr>
            <w:tcW w:w="800" w:type="dxa"/>
            <w:vAlign w:val="bottom"/>
            <w:tcBorders>
              <w:top w:val="single" w:sz="8" w:color="auto"/>
            </w:tcBorders>
            <w:gridSpan w:val="2"/>
          </w:tcPr>
          <w:p>
            <w:pPr>
              <w:jc w:val="center"/>
              <w:ind w:right="170"/>
              <w:spacing w:after="0" w:line="133" w:lineRule="exact"/>
              <w:rPr>
                <w:sz w:val="20"/>
                <w:szCs w:val="20"/>
                <w:color w:val="auto"/>
              </w:rPr>
            </w:pPr>
            <w:r>
              <w:rPr>
                <w:rFonts w:ascii="Arial" w:cs="Arial" w:eastAsia="Arial" w:hAnsi="Arial"/>
                <w:sz w:val="14"/>
                <w:szCs w:val="14"/>
                <w:b w:val="1"/>
                <w:bCs w:val="1"/>
                <w:color w:val="auto"/>
                <w:w w:val="94"/>
              </w:rPr>
              <w:t>Organic</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in Sales</w:t>
            </w:r>
          </w:p>
        </w:tc>
        <w:tc>
          <w:tcPr>
            <w:tcW w:w="2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in Units</w:t>
            </w:r>
          </w:p>
        </w:tc>
        <w:tc>
          <w:tcPr>
            <w:tcW w:w="2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Unit</w:t>
            </w:r>
          </w:p>
        </w:tc>
        <w:tc>
          <w:tcPr>
            <w:tcW w:w="2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Unit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7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Prices</w:t>
            </w:r>
          </w:p>
        </w:tc>
        <w:tc>
          <w:tcPr>
            <w:tcW w:w="24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24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Second quarter 2021 versus Second quarter 2020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36.0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Year-to-date 2021 versus Year-to-date 2020</w:t>
            </w:r>
          </w:p>
        </w:tc>
        <w:tc>
          <w:tcPr>
            <w:tcW w:w="540" w:type="dxa"/>
            <w:vAlign w:val="bottom"/>
          </w:tcPr>
          <w:p>
            <w:pPr>
              <w:jc w:val="right"/>
              <w:spacing w:after="0"/>
              <w:rPr>
                <w:sz w:val="20"/>
                <w:szCs w:val="20"/>
                <w:color w:val="auto"/>
              </w:rPr>
            </w:pPr>
            <w:r>
              <w:rPr>
                <w:rFonts w:ascii="Arial" w:cs="Arial" w:eastAsia="Arial" w:hAnsi="Arial"/>
                <w:sz w:val="18"/>
                <w:szCs w:val="18"/>
                <w:color w:val="auto"/>
              </w:rPr>
              <w:t>99.0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58.0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41.0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760" w:type="dxa"/>
            <w:vAlign w:val="bottom"/>
          </w:tcPr>
          <w:p>
            <w:pPr>
              <w:jc w:val="right"/>
              <w:ind w:right="1"/>
              <w:spacing w:after="0"/>
              <w:rPr>
                <w:sz w:val="20"/>
                <w:szCs w:val="20"/>
                <w:color w:val="auto"/>
              </w:rPr>
            </w:pPr>
            <w:r>
              <w:rPr>
                <w:rFonts w:ascii="Arial" w:cs="Arial" w:eastAsia="Arial" w:hAnsi="Arial"/>
                <w:sz w:val="18"/>
                <w:szCs w:val="18"/>
                <w:color w:val="auto"/>
              </w:rPr>
              <w:t>30.0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380" w:right="79" w:hanging="330"/>
        <w:spacing w:after="0" w:line="257"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Diversifying our end market sales mix</w:t>
      </w:r>
      <w:r>
        <w:rPr>
          <w:rFonts w:ascii="Arial" w:cs="Arial" w:eastAsia="Arial" w:hAnsi="Arial"/>
          <w:sz w:val="18"/>
          <w:szCs w:val="18"/>
          <w:color w:val="auto"/>
        </w:rPr>
        <w:t xml:space="preserve"> by increasing sales of specialty wood and protective packaging to industrial users, increasing our penetration of the concrete forming market, increasing our sales of engineered wood components for custom home, multi-family, military and light commercial construction, increasing our market share with independent retailers, and increasing our sales of customized interior fixtures, casework and millwork used in a variety of commercial markets.</w:t>
      </w:r>
    </w:p>
    <w:p>
      <w:pPr>
        <w:spacing w:after="0" w:line="187" w:lineRule="exact"/>
        <w:rPr>
          <w:rFonts w:ascii="Arial" w:cs="Arial" w:eastAsia="Arial" w:hAnsi="Arial"/>
          <w:sz w:val="18"/>
          <w:szCs w:val="18"/>
          <w:color w:val="auto"/>
        </w:rPr>
      </w:pPr>
    </w:p>
    <w:p>
      <w:pPr>
        <w:ind w:left="380" w:hanging="330"/>
        <w:spacing w:after="0"/>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Expanding geographically in our core businesses</w:t>
      </w:r>
      <w:r>
        <w:rPr>
          <w:rFonts w:ascii="Arial" w:cs="Arial" w:eastAsia="Arial" w:hAnsi="Arial"/>
          <w:sz w:val="18"/>
          <w:szCs w:val="18"/>
          <w:color w:val="auto"/>
        </w:rPr>
        <w:t>, domestically and internationally.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380" w:right="79" w:hanging="330"/>
        <w:spacing w:after="0" w:line="288" w:lineRule="auto"/>
        <w:tabs>
          <w:tab w:leader="none" w:pos="380"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 xml:space="preserve">Increasing our sales of "value-added" products and enhancing our product offering with new or improved products. </w:t>
      </w:r>
      <w:r>
        <w:rPr>
          <w:rFonts w:ascii="Arial" w:cs="Arial" w:eastAsia="Arial" w:hAnsi="Arial"/>
          <w:sz w:val="16"/>
          <w:szCs w:val="16"/>
          <w:color w:val="auto"/>
        </w:rPr>
        <w:t>Value-added products generally consist of fencing, decking, lattice, and other specialty products sold to the retail market, specialty wood packaging, engineered wood components, customized interior fixtures, manufactured and assembled concrete forms, and "wood alternative" products. Engineered wood components include roof trusses, wall panels, and floor systems. Wood alternative products consist of products manufactured with wood and non-wood composites, metal, and plastics. Although we consider the treatment of dimensional lumber and panels with certain chemical preservatives a value-added process, treated lumber is not presently included in the value-added sales totals. Remanufactured lumber and panels that are components of finished goods are also generally categorized as “commodity-based” products. The following table presents, for the periods indicated, our percentage of value-added and commodity-based sales to total sales by our segments (Retail, Industrial, Construction, All Other and Corporate).</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3420" w:type="dxa"/>
            <w:vAlign w:val="bottom"/>
          </w:tcPr>
          <w:p>
            <w:pPr>
              <w:spacing w:after="0"/>
              <w:rPr>
                <w:sz w:val="15"/>
                <w:szCs w:val="15"/>
                <w:color w:val="auto"/>
              </w:rPr>
            </w:pPr>
          </w:p>
        </w:tc>
        <w:tc>
          <w:tcPr>
            <w:tcW w:w="2620" w:type="dxa"/>
            <w:vAlign w:val="bottom"/>
            <w:tcBorders>
              <w:bottom w:val="single" w:sz="8" w:color="auto"/>
            </w:tcBorders>
            <w:gridSpan w:val="3"/>
          </w:tcPr>
          <w:p>
            <w:pPr>
              <w:jc w:val="right"/>
              <w:ind w:right="133"/>
              <w:spacing w:after="0"/>
              <w:rPr>
                <w:sz w:val="20"/>
                <w:szCs w:val="20"/>
                <w:color w:val="auto"/>
              </w:rPr>
            </w:pPr>
            <w:r>
              <w:rPr>
                <w:rFonts w:ascii="Arial" w:cs="Arial" w:eastAsia="Arial" w:hAnsi="Arial"/>
                <w:sz w:val="14"/>
                <w:szCs w:val="14"/>
                <w:b w:val="1"/>
                <w:bCs w:val="1"/>
                <w:color w:val="auto"/>
              </w:rPr>
              <w:t>Three Months Ended June 26, 2021</w:t>
            </w:r>
          </w:p>
        </w:tc>
        <w:tc>
          <w:tcPr>
            <w:tcW w:w="160" w:type="dxa"/>
            <w:vAlign w:val="bottom"/>
          </w:tcPr>
          <w:p>
            <w:pPr>
              <w:spacing w:after="0"/>
              <w:rPr>
                <w:sz w:val="15"/>
                <w:szCs w:val="15"/>
                <w:color w:val="auto"/>
              </w:rPr>
            </w:pPr>
          </w:p>
        </w:tc>
        <w:tc>
          <w:tcPr>
            <w:tcW w:w="254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Three Months Ended June 27, 2020</w:t>
            </w:r>
          </w:p>
        </w:tc>
        <w:tc>
          <w:tcPr>
            <w:tcW w:w="160" w:type="dxa"/>
            <w:vAlign w:val="bottom"/>
          </w:tcPr>
          <w:p>
            <w:pPr>
              <w:spacing w:after="0"/>
              <w:rPr>
                <w:sz w:val="15"/>
                <w:szCs w:val="15"/>
                <w:color w:val="auto"/>
              </w:rPr>
            </w:pPr>
          </w:p>
        </w:tc>
      </w:tr>
      <w:tr>
        <w:trPr>
          <w:trHeight w:val="304"/>
        </w:trPr>
        <w:tc>
          <w:tcPr>
            <w:tcW w:w="3420" w:type="dxa"/>
            <w:vAlign w:val="bottom"/>
          </w:tcPr>
          <w:p>
            <w:pPr>
              <w:spacing w:after="0"/>
              <w:rPr>
                <w:sz w:val="24"/>
                <w:szCs w:val="24"/>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Value-Added</w:t>
            </w: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Commodity-Based</w:t>
            </w: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Value-Added</w:t>
            </w: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Commodity-Based</w:t>
            </w:r>
          </w:p>
        </w:tc>
      </w:tr>
      <w:tr>
        <w:trPr>
          <w:trHeight w:val="216"/>
        </w:trPr>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Retail</w:t>
            </w:r>
          </w:p>
        </w:tc>
        <w:tc>
          <w:tcPr>
            <w:tcW w:w="11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39.7 %</w:t>
            </w:r>
          </w:p>
        </w:tc>
        <w:tc>
          <w:tcPr>
            <w:tcW w:w="1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60.3 %</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58.5 %</w:t>
            </w: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41.5 %</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420" w:type="dxa"/>
            <w:vAlign w:val="bottom"/>
          </w:tcPr>
          <w:p>
            <w:pPr>
              <w:ind w:left="20"/>
              <w:spacing w:after="0"/>
              <w:rPr>
                <w:sz w:val="20"/>
                <w:szCs w:val="20"/>
                <w:color w:val="auto"/>
              </w:rPr>
            </w:pPr>
            <w:r>
              <w:rPr>
                <w:rFonts w:ascii="Arial" w:cs="Arial" w:eastAsia="Arial" w:hAnsi="Arial"/>
                <w:sz w:val="18"/>
                <w:szCs w:val="18"/>
                <w:color w:val="auto"/>
              </w:rPr>
              <w:t>Industrial</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63.8 %</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36.2 %</w:t>
            </w:r>
          </w:p>
        </w:tc>
        <w:tc>
          <w:tcPr>
            <w:tcW w:w="160" w:type="dxa"/>
            <w:vAlign w:val="bottom"/>
          </w:tcPr>
          <w:p>
            <w:pPr>
              <w:spacing w:after="0"/>
              <w:rPr>
                <w:sz w:val="18"/>
                <w:szCs w:val="18"/>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66.3 %</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33.7 %</w:t>
            </w:r>
          </w:p>
        </w:tc>
        <w:tc>
          <w:tcPr>
            <w:tcW w:w="160" w:type="dxa"/>
            <w:vAlign w:val="bottom"/>
          </w:tcPr>
          <w:p>
            <w:pPr>
              <w:spacing w:after="0"/>
              <w:rPr>
                <w:sz w:val="18"/>
                <w:szCs w:val="18"/>
                <w:color w:val="auto"/>
              </w:rPr>
            </w:pPr>
          </w:p>
        </w:tc>
      </w:tr>
      <w:tr>
        <w:trPr>
          <w:trHeight w:val="216"/>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w:t>
            </w: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67.9 %</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32.1 %</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79.2 %</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20.8 %</w:t>
            </w:r>
          </w:p>
        </w:tc>
        <w:tc>
          <w:tcPr>
            <w:tcW w:w="160" w:type="dxa"/>
            <w:vAlign w:val="bottom"/>
            <w:shd w:val="clear" w:color="auto" w:fill="CCEEFF"/>
          </w:tcPr>
          <w:p>
            <w:pPr>
              <w:spacing w:after="0"/>
              <w:rPr>
                <w:sz w:val="18"/>
                <w:szCs w:val="18"/>
                <w:color w:val="auto"/>
              </w:rPr>
            </w:pPr>
          </w:p>
        </w:tc>
      </w:tr>
      <w:tr>
        <w:trPr>
          <w:trHeight w:val="216"/>
        </w:trPr>
        <w:tc>
          <w:tcPr>
            <w:tcW w:w="3420" w:type="dxa"/>
            <w:vAlign w:val="bottom"/>
          </w:tcPr>
          <w:p>
            <w:pPr>
              <w:ind w:left="20"/>
              <w:spacing w:after="0"/>
              <w:rPr>
                <w:sz w:val="20"/>
                <w:szCs w:val="20"/>
                <w:color w:val="auto"/>
              </w:rPr>
            </w:pPr>
            <w:r>
              <w:rPr>
                <w:rFonts w:ascii="Arial" w:cs="Arial" w:eastAsia="Arial" w:hAnsi="Arial"/>
                <w:sz w:val="18"/>
                <w:szCs w:val="18"/>
                <w:color w:val="auto"/>
              </w:rPr>
              <w:t>All Other and Corporate</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73.4 %</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26.6 %</w:t>
            </w:r>
          </w:p>
        </w:tc>
        <w:tc>
          <w:tcPr>
            <w:tcW w:w="160" w:type="dxa"/>
            <w:vAlign w:val="bottom"/>
          </w:tcPr>
          <w:p>
            <w:pPr>
              <w:spacing w:after="0"/>
              <w:rPr>
                <w:sz w:val="18"/>
                <w:szCs w:val="18"/>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79.7 %</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20.3 %</w:t>
            </w:r>
          </w:p>
        </w:tc>
        <w:tc>
          <w:tcPr>
            <w:tcW w:w="160" w:type="dxa"/>
            <w:vAlign w:val="bottom"/>
          </w:tcPr>
          <w:p>
            <w:pPr>
              <w:spacing w:after="0"/>
              <w:rPr>
                <w:sz w:val="18"/>
                <w:szCs w:val="18"/>
                <w:color w:val="auto"/>
              </w:rPr>
            </w:pPr>
          </w:p>
        </w:tc>
      </w:tr>
      <w:tr>
        <w:trPr>
          <w:trHeight w:val="216"/>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Sales</w:t>
            </w: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53.8 %</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46.2 %</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66.6 %</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33.4 %</w:t>
            </w:r>
          </w:p>
        </w:tc>
        <w:tc>
          <w:tcPr>
            <w:tcW w:w="160" w:type="dxa"/>
            <w:vAlign w:val="bottom"/>
            <w:shd w:val="clear" w:color="auto" w:fill="CCEEFF"/>
          </w:tcPr>
          <w:p>
            <w:pPr>
              <w:spacing w:after="0"/>
              <w:rPr>
                <w:sz w:val="18"/>
                <w:szCs w:val="18"/>
                <w:color w:val="auto"/>
              </w:rPr>
            </w:pPr>
          </w:p>
        </w:tc>
      </w:tr>
      <w:tr>
        <w:trPr>
          <w:trHeight w:val="372"/>
        </w:trPr>
        <w:tc>
          <w:tcPr>
            <w:tcW w:w="3420" w:type="dxa"/>
            <w:vAlign w:val="bottom"/>
          </w:tcPr>
          <w:p>
            <w:pPr>
              <w:spacing w:after="0"/>
              <w:rPr>
                <w:sz w:val="24"/>
                <w:szCs w:val="24"/>
                <w:color w:val="auto"/>
              </w:rPr>
            </w:pPr>
          </w:p>
        </w:tc>
        <w:tc>
          <w:tcPr>
            <w:tcW w:w="2620" w:type="dxa"/>
            <w:vAlign w:val="bottom"/>
            <w:tcBorders>
              <w:bottom w:val="single" w:sz="8" w:color="auto"/>
            </w:tcBorders>
            <w:gridSpan w:val="3"/>
          </w:tcPr>
          <w:p>
            <w:pPr>
              <w:jc w:val="right"/>
              <w:ind w:right="213"/>
              <w:spacing w:after="0"/>
              <w:rPr>
                <w:sz w:val="20"/>
                <w:szCs w:val="20"/>
                <w:color w:val="auto"/>
              </w:rPr>
            </w:pPr>
            <w:r>
              <w:rPr>
                <w:rFonts w:ascii="Arial" w:cs="Arial" w:eastAsia="Arial" w:hAnsi="Arial"/>
                <w:sz w:val="14"/>
                <w:szCs w:val="14"/>
                <w:b w:val="1"/>
                <w:bCs w:val="1"/>
                <w:color w:val="auto"/>
              </w:rPr>
              <w:t>Six Months Ended June 26, 2021</w:t>
            </w:r>
          </w:p>
        </w:tc>
        <w:tc>
          <w:tcPr>
            <w:tcW w:w="160" w:type="dxa"/>
            <w:vAlign w:val="bottom"/>
          </w:tcPr>
          <w:p>
            <w:pPr>
              <w:spacing w:after="0"/>
              <w:rPr>
                <w:sz w:val="24"/>
                <w:szCs w:val="24"/>
                <w:color w:val="auto"/>
              </w:rPr>
            </w:pPr>
          </w:p>
        </w:tc>
        <w:tc>
          <w:tcPr>
            <w:tcW w:w="2540" w:type="dxa"/>
            <w:vAlign w:val="bottom"/>
            <w:tcBorders>
              <w:bottom w:val="single" w:sz="8" w:color="auto"/>
            </w:tcBorders>
            <w:gridSpan w:val="3"/>
          </w:tcPr>
          <w:p>
            <w:pPr>
              <w:jc w:val="right"/>
              <w:ind w:right="173"/>
              <w:spacing w:after="0"/>
              <w:rPr>
                <w:sz w:val="20"/>
                <w:szCs w:val="20"/>
                <w:color w:val="auto"/>
              </w:rPr>
            </w:pPr>
            <w:r>
              <w:rPr>
                <w:rFonts w:ascii="Arial" w:cs="Arial" w:eastAsia="Arial" w:hAnsi="Arial"/>
                <w:sz w:val="14"/>
                <w:szCs w:val="14"/>
                <w:b w:val="1"/>
                <w:bCs w:val="1"/>
                <w:color w:val="auto"/>
              </w:rPr>
              <w:t>Six Months Ended June 27, 2020</w:t>
            </w:r>
          </w:p>
        </w:tc>
        <w:tc>
          <w:tcPr>
            <w:tcW w:w="160" w:type="dxa"/>
            <w:vAlign w:val="bottom"/>
          </w:tcPr>
          <w:p>
            <w:pPr>
              <w:spacing w:after="0"/>
              <w:rPr>
                <w:sz w:val="24"/>
                <w:szCs w:val="24"/>
                <w:color w:val="auto"/>
              </w:rPr>
            </w:pPr>
          </w:p>
        </w:tc>
      </w:tr>
      <w:tr>
        <w:trPr>
          <w:trHeight w:val="304"/>
        </w:trPr>
        <w:tc>
          <w:tcPr>
            <w:tcW w:w="3420" w:type="dxa"/>
            <w:vAlign w:val="bottom"/>
          </w:tcPr>
          <w:p>
            <w:pPr>
              <w:spacing w:after="0"/>
              <w:rPr>
                <w:sz w:val="24"/>
                <w:szCs w:val="24"/>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Value-Added</w:t>
            </w: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Commodity-Based</w:t>
            </w: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Value-Added</w:t>
            </w: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Commodity-Based</w:t>
            </w:r>
          </w:p>
        </w:tc>
      </w:tr>
      <w:tr>
        <w:trPr>
          <w:trHeight w:val="216"/>
        </w:trPr>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Retail</w:t>
            </w:r>
          </w:p>
        </w:tc>
        <w:tc>
          <w:tcPr>
            <w:tcW w:w="11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41.5 %</w:t>
            </w:r>
          </w:p>
        </w:tc>
        <w:tc>
          <w:tcPr>
            <w:tcW w:w="1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58.5 %</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57.8 %</w:t>
            </w: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42.2 %</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420" w:type="dxa"/>
            <w:vAlign w:val="bottom"/>
          </w:tcPr>
          <w:p>
            <w:pPr>
              <w:ind w:left="20"/>
              <w:spacing w:after="0"/>
              <w:rPr>
                <w:sz w:val="20"/>
                <w:szCs w:val="20"/>
                <w:color w:val="auto"/>
              </w:rPr>
            </w:pPr>
            <w:r>
              <w:rPr>
                <w:rFonts w:ascii="Arial" w:cs="Arial" w:eastAsia="Arial" w:hAnsi="Arial"/>
                <w:sz w:val="18"/>
                <w:szCs w:val="18"/>
                <w:color w:val="auto"/>
              </w:rPr>
              <w:t>Industrial</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65.1 %</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34.9 %</w:t>
            </w:r>
          </w:p>
        </w:tc>
        <w:tc>
          <w:tcPr>
            <w:tcW w:w="160" w:type="dxa"/>
            <w:vAlign w:val="bottom"/>
          </w:tcPr>
          <w:p>
            <w:pPr>
              <w:spacing w:after="0"/>
              <w:rPr>
                <w:sz w:val="18"/>
                <w:szCs w:val="18"/>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66.5 %</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33.5 %</w:t>
            </w:r>
          </w:p>
        </w:tc>
        <w:tc>
          <w:tcPr>
            <w:tcW w:w="160" w:type="dxa"/>
            <w:vAlign w:val="bottom"/>
          </w:tcPr>
          <w:p>
            <w:pPr>
              <w:spacing w:after="0"/>
              <w:rPr>
                <w:sz w:val="18"/>
                <w:szCs w:val="18"/>
                <w:color w:val="auto"/>
              </w:rPr>
            </w:pPr>
          </w:p>
        </w:tc>
      </w:tr>
      <w:tr>
        <w:trPr>
          <w:trHeight w:val="216"/>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w:t>
            </w: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68.3 %</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31.7 %</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79.2 %</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20.8 %</w:t>
            </w:r>
          </w:p>
        </w:tc>
        <w:tc>
          <w:tcPr>
            <w:tcW w:w="160" w:type="dxa"/>
            <w:vAlign w:val="bottom"/>
            <w:shd w:val="clear" w:color="auto" w:fill="CCEEFF"/>
          </w:tcPr>
          <w:p>
            <w:pPr>
              <w:spacing w:after="0"/>
              <w:rPr>
                <w:sz w:val="18"/>
                <w:szCs w:val="18"/>
                <w:color w:val="auto"/>
              </w:rPr>
            </w:pPr>
          </w:p>
        </w:tc>
      </w:tr>
      <w:tr>
        <w:trPr>
          <w:trHeight w:val="216"/>
        </w:trPr>
        <w:tc>
          <w:tcPr>
            <w:tcW w:w="3420" w:type="dxa"/>
            <w:vAlign w:val="bottom"/>
          </w:tcPr>
          <w:p>
            <w:pPr>
              <w:ind w:left="20"/>
              <w:spacing w:after="0"/>
              <w:rPr>
                <w:sz w:val="20"/>
                <w:szCs w:val="20"/>
                <w:color w:val="auto"/>
              </w:rPr>
            </w:pPr>
            <w:r>
              <w:rPr>
                <w:rFonts w:ascii="Arial" w:cs="Arial" w:eastAsia="Arial" w:hAnsi="Arial"/>
                <w:sz w:val="18"/>
                <w:szCs w:val="18"/>
                <w:color w:val="auto"/>
              </w:rPr>
              <w:t>All Other and Corporate</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72.7 %</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27.3 %</w:t>
            </w:r>
          </w:p>
        </w:tc>
        <w:tc>
          <w:tcPr>
            <w:tcW w:w="160" w:type="dxa"/>
            <w:vAlign w:val="bottom"/>
          </w:tcPr>
          <w:p>
            <w:pPr>
              <w:spacing w:after="0"/>
              <w:rPr>
                <w:sz w:val="18"/>
                <w:szCs w:val="18"/>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76.3 %</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23.7 %</w:t>
            </w:r>
          </w:p>
        </w:tc>
        <w:tc>
          <w:tcPr>
            <w:tcW w:w="160" w:type="dxa"/>
            <w:vAlign w:val="bottom"/>
          </w:tcPr>
          <w:p>
            <w:pPr>
              <w:spacing w:after="0"/>
              <w:rPr>
                <w:sz w:val="18"/>
                <w:szCs w:val="18"/>
                <w:color w:val="auto"/>
              </w:rPr>
            </w:pPr>
          </w:p>
        </w:tc>
      </w:tr>
      <w:tr>
        <w:trPr>
          <w:trHeight w:val="216"/>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Sales</w:t>
            </w: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55.5 %</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44.5 %</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67.2 %</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32.8 %</w:t>
            </w: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left="380" w:right="59"/>
        <w:spacing w:after="0" w:line="289" w:lineRule="auto"/>
        <w:rPr>
          <w:sz w:val="20"/>
          <w:szCs w:val="20"/>
          <w:color w:val="auto"/>
        </w:rPr>
      </w:pPr>
      <w:r>
        <w:rPr>
          <w:rFonts w:ascii="Arial" w:cs="Arial" w:eastAsia="Arial" w:hAnsi="Arial"/>
          <w:sz w:val="16"/>
          <w:szCs w:val="16"/>
          <w:color w:val="auto"/>
        </w:rPr>
        <w:t>The increase in our ratio of commodity-based product sales to total sales reflected in the table above is primarily due to the impact of dramatically higher lumber prices in the first half of 2021. This is due to the fact that the selling prices of these products are generally indexed to the current Lumber Market at the time they are shipped and lumber costs comprise a much higher percentage of the selling price than they do for value-added products. The acquisition of Sunbelt and Spartanburg also contributed to the increase in commodity-based sales of treated lumber in our retail segment, while PalletOne contributed to the increase in value-added sales in the industrial segment. Our unit sales of value-added products increased approximately 30% in the second quarter of 2021 compared to 2020, including an 18% contribution from acquisitions and 12% organic growth. Our unit sales of commodity-based products increased approximately 80%, including a 72% contribution from acquisitions and 8% organic growth.</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00" w:lineRule="exact"/>
        <w:rPr>
          <w:sz w:val="20"/>
          <w:szCs w:val="20"/>
          <w:color w:val="auto"/>
        </w:rPr>
      </w:pPr>
    </w:p>
    <w:p>
      <w:pPr>
        <w:spacing w:after="0" w:line="245" w:lineRule="exact"/>
        <w:rPr>
          <w:sz w:val="20"/>
          <w:szCs w:val="20"/>
          <w:color w:val="auto"/>
        </w:rPr>
      </w:pPr>
    </w:p>
    <w:p>
      <w:pPr>
        <w:jc w:val="both"/>
        <w:ind w:left="380" w:right="79" w:hanging="330"/>
        <w:spacing w:after="0" w:line="293" w:lineRule="auto"/>
        <w:tabs>
          <w:tab w:leader="none" w:pos="380"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Developing new products.</w:t>
      </w:r>
      <w:r>
        <w:rPr>
          <w:rFonts w:ascii="Arial" w:cs="Arial" w:eastAsia="Arial" w:hAnsi="Arial"/>
          <w:sz w:val="16"/>
          <w:szCs w:val="16"/>
          <w:color w:val="auto"/>
        </w:rPr>
        <w:t xml:space="preserve"> We define new products as those that will generate sales of at least a $1 million per year within 4 years of launch and are still growing and gaining market penetration. New product sales and gross profits in the second quarter of 2021 increased 61% and 72%, respectively. Approximately $4 million and $3 million of new product sales for the first and second quarter of 2020, respectively, while still sold, were sunset in 2021 and excluded from the table below because they no longer meet the definition above. Our goal is to achieve annual new product sales of at least $575 million in 2021. The table below presents new product sales in thousands: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340" w:type="dxa"/>
            <w:vAlign w:val="bottom"/>
          </w:tcPr>
          <w:p>
            <w:pPr>
              <w:spacing w:after="0"/>
              <w:rPr>
                <w:sz w:val="15"/>
                <w:szCs w:val="15"/>
                <w:color w:val="auto"/>
              </w:rPr>
            </w:pPr>
          </w:p>
        </w:tc>
        <w:tc>
          <w:tcPr>
            <w:tcW w:w="2480" w:type="dxa"/>
            <w:vAlign w:val="bottom"/>
            <w:tcBorders>
              <w:bottom w:val="single" w:sz="8" w:color="auto"/>
            </w:tcBorders>
            <w:gridSpan w:val="5"/>
          </w:tcPr>
          <w:p>
            <w:pPr>
              <w:jc w:val="center"/>
              <w:ind w:left="418"/>
              <w:spacing w:after="0"/>
              <w:rPr>
                <w:sz w:val="20"/>
                <w:szCs w:val="20"/>
                <w:color w:val="auto"/>
              </w:rPr>
            </w:pPr>
            <w:r>
              <w:rPr>
                <w:rFonts w:ascii="Arial" w:cs="Arial" w:eastAsia="Arial" w:hAnsi="Arial"/>
                <w:sz w:val="14"/>
                <w:szCs w:val="14"/>
                <w:b w:val="1"/>
                <w:bCs w:val="1"/>
                <w:color w:val="auto"/>
                <w:w w:val="90"/>
              </w:rPr>
              <w:t>New Product Sales by Segment</w:t>
            </w:r>
          </w:p>
        </w:tc>
        <w:tc>
          <w:tcPr>
            <w:tcW w:w="4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6"/>
          </w:tcPr>
          <w:p>
            <w:pPr>
              <w:jc w:val="right"/>
              <w:ind w:right="319"/>
              <w:spacing w:after="0"/>
              <w:rPr>
                <w:sz w:val="20"/>
                <w:szCs w:val="20"/>
                <w:color w:val="auto"/>
              </w:rPr>
            </w:pPr>
            <w:r>
              <w:rPr>
                <w:rFonts w:ascii="Arial" w:cs="Arial" w:eastAsia="Arial" w:hAnsi="Arial"/>
                <w:sz w:val="14"/>
                <w:szCs w:val="14"/>
                <w:b w:val="1"/>
                <w:bCs w:val="1"/>
                <w:color w:val="auto"/>
              </w:rPr>
              <w:t>New Product Sales by Segment</w:t>
            </w:r>
          </w:p>
        </w:tc>
        <w:tc>
          <w:tcPr>
            <w:tcW w:w="240" w:type="dxa"/>
            <w:vAlign w:val="bottom"/>
            <w:tcBorders>
              <w:bottom w:val="single" w:sz="8" w:color="auto"/>
            </w:tcBorders>
          </w:tcPr>
          <w:p>
            <w:pPr>
              <w:spacing w:after="0"/>
              <w:rPr>
                <w:sz w:val="15"/>
                <w:szCs w:val="15"/>
                <w:color w:val="auto"/>
              </w:rPr>
            </w:pPr>
          </w:p>
        </w:tc>
      </w:tr>
      <w:tr>
        <w:trPr>
          <w:trHeight w:val="155"/>
        </w:trPr>
        <w:tc>
          <w:tcPr>
            <w:tcW w:w="2340" w:type="dxa"/>
            <w:vAlign w:val="bottom"/>
          </w:tcPr>
          <w:p>
            <w:pPr>
              <w:spacing w:after="0"/>
              <w:rPr>
                <w:sz w:val="13"/>
                <w:szCs w:val="13"/>
                <w:color w:val="auto"/>
              </w:rPr>
            </w:pPr>
          </w:p>
        </w:tc>
        <w:tc>
          <w:tcPr>
            <w:tcW w:w="2480" w:type="dxa"/>
            <w:vAlign w:val="bottom"/>
            <w:tcBorders>
              <w:bottom w:val="single" w:sz="8" w:color="auto"/>
            </w:tcBorders>
            <w:gridSpan w:val="5"/>
          </w:tcPr>
          <w:p>
            <w:pPr>
              <w:jc w:val="center"/>
              <w:ind w:left="418"/>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4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b w:val="1"/>
                <w:bCs w:val="1"/>
                <w:color w:val="auto"/>
                <w:w w:val="95"/>
              </w:rPr>
              <w:t>Six Months Ended</w:t>
            </w: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r>
      <w:tr>
        <w:trPr>
          <w:trHeight w:val="139"/>
        </w:trPr>
        <w:tc>
          <w:tcPr>
            <w:tcW w:w="2340" w:type="dxa"/>
            <w:vAlign w:val="bottom"/>
          </w:tcPr>
          <w:p>
            <w:pPr>
              <w:spacing w:after="0"/>
              <w:rPr>
                <w:sz w:val="12"/>
                <w:szCs w:val="12"/>
                <w:color w:val="auto"/>
              </w:rPr>
            </w:pPr>
          </w:p>
        </w:tc>
        <w:tc>
          <w:tcPr>
            <w:tcW w:w="1160" w:type="dxa"/>
            <w:vAlign w:val="bottom"/>
            <w:gridSpan w:val="2"/>
          </w:tcPr>
          <w:p>
            <w:pPr>
              <w:ind w:left="220"/>
              <w:spacing w:after="0" w:line="139" w:lineRule="exact"/>
              <w:rPr>
                <w:sz w:val="20"/>
                <w:szCs w:val="20"/>
                <w:color w:val="auto"/>
              </w:rPr>
            </w:pPr>
            <w:r>
              <w:rPr>
                <w:rFonts w:ascii="Arial" w:cs="Arial" w:eastAsia="Arial" w:hAnsi="Arial"/>
                <w:sz w:val="14"/>
                <w:szCs w:val="14"/>
                <w:b w:val="1"/>
                <w:bCs w:val="1"/>
                <w:color w:val="auto"/>
              </w:rPr>
              <w:t>June 26,</w:t>
            </w:r>
          </w:p>
        </w:tc>
        <w:tc>
          <w:tcPr>
            <w:tcW w:w="1320" w:type="dxa"/>
            <w:vAlign w:val="bottom"/>
            <w:gridSpan w:val="3"/>
          </w:tcPr>
          <w:p>
            <w:pPr>
              <w:ind w:left="240"/>
              <w:spacing w:after="0" w:line="139" w:lineRule="exact"/>
              <w:rPr>
                <w:sz w:val="20"/>
                <w:szCs w:val="20"/>
                <w:color w:val="auto"/>
              </w:rPr>
            </w:pPr>
            <w:r>
              <w:rPr>
                <w:rFonts w:ascii="Arial" w:cs="Arial" w:eastAsia="Arial" w:hAnsi="Arial"/>
                <w:sz w:val="14"/>
                <w:szCs w:val="14"/>
                <w:b w:val="1"/>
                <w:bCs w:val="1"/>
                <w:color w:val="auto"/>
              </w:rPr>
              <w:t>June 27,</w:t>
            </w:r>
          </w:p>
        </w:tc>
        <w:tc>
          <w:tcPr>
            <w:tcW w:w="460" w:type="dxa"/>
            <w:vAlign w:val="bottom"/>
          </w:tcPr>
          <w:p>
            <w:pPr>
              <w:jc w:val="right"/>
              <w:ind w:right="35"/>
              <w:spacing w:after="0" w:line="13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157"/>
              <w:spacing w:after="0" w:line="139" w:lineRule="exact"/>
              <w:rPr>
                <w:sz w:val="20"/>
                <w:szCs w:val="20"/>
                <w:color w:val="auto"/>
              </w:rPr>
            </w:pPr>
            <w:r>
              <w:rPr>
                <w:rFonts w:ascii="Arial" w:cs="Arial" w:eastAsia="Arial" w:hAnsi="Arial"/>
                <w:sz w:val="14"/>
                <w:szCs w:val="14"/>
                <w:b w:val="1"/>
                <w:bCs w:val="1"/>
                <w:color w:val="auto"/>
                <w:w w:val="99"/>
              </w:rPr>
              <w:t>June 26,</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ind w:right="175"/>
              <w:spacing w:after="0" w:line="139" w:lineRule="exact"/>
              <w:rPr>
                <w:sz w:val="20"/>
                <w:szCs w:val="20"/>
                <w:color w:val="auto"/>
              </w:rPr>
            </w:pPr>
            <w:r>
              <w:rPr>
                <w:rFonts w:ascii="Arial" w:cs="Arial" w:eastAsia="Arial" w:hAnsi="Arial"/>
                <w:sz w:val="14"/>
                <w:szCs w:val="14"/>
                <w:b w:val="1"/>
                <w:bCs w:val="1"/>
                <w:color w:val="auto"/>
                <w:w w:val="99"/>
              </w:rPr>
              <w:t>June 27,</w:t>
            </w:r>
          </w:p>
        </w:tc>
        <w:tc>
          <w:tcPr>
            <w:tcW w:w="760" w:type="dxa"/>
            <w:vAlign w:val="bottom"/>
            <w:gridSpan w:val="2"/>
          </w:tcPr>
          <w:p>
            <w:pPr>
              <w:jc w:val="right"/>
              <w:ind w:right="19"/>
              <w:spacing w:after="0" w:line="13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r>
      <w:tr>
        <w:trPr>
          <w:trHeight w:val="178"/>
        </w:trPr>
        <w:tc>
          <w:tcPr>
            <w:tcW w:w="2340" w:type="dxa"/>
            <w:vAlign w:val="bottom"/>
          </w:tcPr>
          <w:p>
            <w:pPr>
              <w:spacing w:after="0"/>
              <w:rPr>
                <w:sz w:val="15"/>
                <w:szCs w:val="15"/>
                <w:color w:val="auto"/>
              </w:rPr>
            </w:pPr>
          </w:p>
        </w:tc>
        <w:tc>
          <w:tcPr>
            <w:tcW w:w="980" w:type="dxa"/>
            <w:vAlign w:val="bottom"/>
          </w:tcPr>
          <w:p>
            <w:pPr>
              <w:jc w:val="right"/>
              <w:ind w:right="278"/>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5"/>
                <w:szCs w:val="15"/>
                <w:color w:val="auto"/>
              </w:rPr>
            </w:pPr>
          </w:p>
        </w:tc>
        <w:tc>
          <w:tcPr>
            <w:tcW w:w="980" w:type="dxa"/>
            <w:vAlign w:val="bottom"/>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4"/>
          </w:tcPr>
          <w:p>
            <w:pPr>
              <w:jc w:val="right"/>
              <w:ind w:right="470"/>
              <w:spacing w:after="0"/>
              <w:rPr>
                <w:sz w:val="20"/>
                <w:szCs w:val="20"/>
                <w:color w:val="auto"/>
              </w:rPr>
            </w:pPr>
            <w:r>
              <w:rPr>
                <w:rFonts w:ascii="Arial" w:cs="Arial" w:eastAsia="Arial" w:hAnsi="Arial"/>
                <w:sz w:val="14"/>
                <w:szCs w:val="14"/>
                <w:b w:val="1"/>
                <w:bCs w:val="1"/>
                <w:color w:val="auto"/>
                <w:w w:val="93"/>
              </w:rPr>
              <w:t>Change</w:t>
            </w:r>
          </w:p>
        </w:tc>
        <w:tc>
          <w:tcPr>
            <w:tcW w:w="820" w:type="dxa"/>
            <w:vAlign w:val="bottom"/>
          </w:tcPr>
          <w:p>
            <w:pPr>
              <w:jc w:val="right"/>
              <w:ind w:right="257"/>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5"/>
                <w:szCs w:val="15"/>
                <w:color w:val="auto"/>
              </w:rPr>
            </w:pPr>
          </w:p>
        </w:tc>
        <w:tc>
          <w:tcPr>
            <w:tcW w:w="84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Change</w:t>
            </w:r>
          </w:p>
        </w:tc>
      </w:tr>
      <w:tr>
        <w:trPr>
          <w:trHeight w:val="216"/>
        </w:trPr>
        <w:tc>
          <w:tcPr>
            <w:tcW w:w="2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Retail</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151,808</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115,133</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259,688</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182,242</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2340" w:type="dxa"/>
            <w:vAlign w:val="bottom"/>
          </w:tcPr>
          <w:p>
            <w:pPr>
              <w:ind w:left="20"/>
              <w:spacing w:after="0"/>
              <w:rPr>
                <w:sz w:val="20"/>
                <w:szCs w:val="20"/>
                <w:color w:val="auto"/>
              </w:rPr>
            </w:pPr>
            <w:r>
              <w:rPr>
                <w:rFonts w:ascii="Arial" w:cs="Arial" w:eastAsia="Arial" w:hAnsi="Arial"/>
                <w:sz w:val="18"/>
                <w:szCs w:val="18"/>
                <w:color w:val="auto"/>
              </w:rPr>
              <w:t>Industrial</w:t>
            </w:r>
          </w:p>
        </w:tc>
        <w:tc>
          <w:tcPr>
            <w:tcW w:w="980" w:type="dxa"/>
            <w:vAlign w:val="bottom"/>
          </w:tcPr>
          <w:p>
            <w:pPr>
              <w:jc w:val="right"/>
              <w:spacing w:after="0"/>
              <w:rPr>
                <w:sz w:val="20"/>
                <w:szCs w:val="20"/>
                <w:color w:val="auto"/>
              </w:rPr>
            </w:pPr>
            <w:r>
              <w:rPr>
                <w:rFonts w:ascii="Arial" w:cs="Arial" w:eastAsia="Arial" w:hAnsi="Arial"/>
                <w:sz w:val="18"/>
                <w:szCs w:val="18"/>
                <w:color w:val="auto"/>
              </w:rPr>
              <w:t>40,724</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13,945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192.0</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72,120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29,882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141.3</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35,110</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184.3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57,822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23"/>
        </w:trPr>
        <w:tc>
          <w:tcPr>
            <w:tcW w:w="2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and Corporate</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4,501</w:t>
            </w:r>
          </w:p>
        </w:tc>
        <w:tc>
          <w:tcPr>
            <w:tcW w:w="1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2,387</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88.6</w:t>
            </w: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7,273</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5,375</w:t>
            </w:r>
          </w:p>
        </w:tc>
        <w:tc>
          <w:tcPr>
            <w:tcW w:w="7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35.3</w:t>
            </w:r>
          </w:p>
        </w:tc>
        <w:tc>
          <w:tcPr>
            <w:tcW w:w="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New Product Sales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232,143</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143,816</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396,903</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243,289</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2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03" w:lineRule="exact"/>
        <w:rPr>
          <w:sz w:val="20"/>
          <w:szCs w:val="20"/>
          <w:color w:val="auto"/>
        </w:rPr>
      </w:pPr>
    </w:p>
    <w:p>
      <w:pPr>
        <w:ind w:left="60"/>
        <w:spacing w:after="0"/>
        <w:rPr>
          <w:sz w:val="20"/>
          <w:szCs w:val="20"/>
          <w:color w:val="auto"/>
        </w:rPr>
      </w:pPr>
      <w:r>
        <w:rPr>
          <w:rFonts w:ascii="Arial" w:cs="Arial" w:eastAsia="Arial" w:hAnsi="Arial"/>
          <w:sz w:val="13"/>
          <w:szCs w:val="13"/>
          <w:color w:val="auto"/>
        </w:rPr>
        <w:t>Note: Certain prior year product reclassifications and the change in designation of certain products as "new" resulted in a change in prior year's sales.</w:t>
      </w:r>
    </w:p>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Retail Segment</w:t>
      </w:r>
    </w:p>
    <w:p>
      <w:pPr>
        <w:spacing w:after="0" w:line="22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Net sales in the second quarter of 2021 increased approximately 107% compared to the same period of 2020, due to a 59% increase in selling prices and a 52% increase in unit sales due to acquisitions (Sunbelt and Spartanburg Forest Products), offset by a 4% decline in organic unit sales. Organic unit sale decreases of 17% in our Handprint Home &amp; Décor products and 18% in our ProWood pressure-treated products were offset by organic unit growth of 27% in our UFP Edge siding, pattern, and trim products, 11% in our Deckorators composite decking and railing products, and 6% in our Outdoor Essentials Fence, Lawn &amp; Garden products. Our new product sales contributed to these increases and were up 32% for the quarter. The decline in our unit sales of ProWood and Handprint products was primarily due to a shift in consumer spending as a result of the end of pandemic-related restrictions on certain activities. The increase in unit sales of UFP Edge, Deckorators, and Outdoor Essentials was largely due to investments made to increase our capacity to produce these products as well as market share gains. Lastly, approximately $8 million of sales to customers that distribute products for concrete forming were transferred from the construction segment to the retail segment. This change in structure was made so the personnel in our construction segment can more effectively focus their efforts on the design, manufacturing and sales of assembled forms and other value-added products for concrete forming. Sales to big box customers were up 89% (30% organic) and sales to other independent retailers increased 150% (149% organic).</w:t>
      </w:r>
    </w:p>
    <w:p>
      <w:pPr>
        <w:spacing w:after="0" w:line="17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Gross profits increased by $39.1 million, or 46.9% to $122.3 million for the second quarter of 2021 compared to the same period last year. Our increase in gross profit was attributable to the following</w:t>
      </w:r>
      <w:r>
        <w:rPr>
          <w:rFonts w:ascii="Arial" w:cs="Arial" w:eastAsia="Arial" w:hAnsi="Arial"/>
          <w:sz w:val="18"/>
          <w:szCs w:val="18"/>
          <w:b w:val="1"/>
          <w:bCs w:val="1"/>
          <w:color w:val="auto"/>
        </w:rPr>
        <w:t>:</w:t>
      </w:r>
    </w:p>
    <w:p>
      <w:pPr>
        <w:spacing w:after="0" w:line="170" w:lineRule="exact"/>
        <w:rPr>
          <w:sz w:val="20"/>
          <w:szCs w:val="20"/>
          <w:color w:val="auto"/>
        </w:rPr>
      </w:pPr>
    </w:p>
    <w:p>
      <w:pPr>
        <w:ind w:left="720" w:right="79" w:hanging="319"/>
        <w:spacing w:after="0" w:line="277"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unit sales and leveraging fixed costs of value-added products within our Deckorators, Outdoor Essentials, and UFP Edge business units contributed $4.1 of additional gross profit.</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Retail Building Materials business unit contributed $18.2 million to the increase. This increase was primarily due to unit sales growth and inventory positioning.</w:t>
      </w:r>
    </w:p>
    <w:p>
      <w:pPr>
        <w:spacing w:after="0" w:line="170"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ProWood and Handprint business units increased gross profits by $10.4 million and $2.9, respectively. Our ProWood business unit recorded a lower of cost or net realizable value adjustment to inventory and cost of goods sold totaling $2.3 million in the second quarter of 2021.</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00" w:lineRule="exact"/>
        <w:rPr>
          <w:sz w:val="20"/>
          <w:szCs w:val="20"/>
          <w:color w:val="auto"/>
        </w:rPr>
      </w:pPr>
    </w:p>
    <w:p>
      <w:pPr>
        <w:spacing w:after="0" w:line="245" w:lineRule="exact"/>
        <w:rPr>
          <w:sz w:val="20"/>
          <w:szCs w:val="20"/>
          <w:color w:val="auto"/>
        </w:rPr>
      </w:pPr>
    </w:p>
    <w:p>
      <w:pPr>
        <w:ind w:left="720" w:right="79" w:hanging="319"/>
        <w:spacing w:after="0" w:line="308" w:lineRule="auto"/>
        <w:tabs>
          <w:tab w:leader="none" w:pos="7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Acquisitions contributed $3.5 million to the increase. This includes a lower of cost or net realizable value adjustment to inventory and cost of goods sold of $20.9 million recorded in the second quarter of 2021.</w:t>
      </w:r>
    </w:p>
    <w:p>
      <w:pPr>
        <w:spacing w:after="0" w:line="146"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Selling, general and administrative (“SG&amp;A”) expenses increased by approximately $22.8 million, or 60.8%, in the second quarter of 2021 compared to the same period of 2020. The SG&amp;A of recently acquired businesses contributed $5.4 million to the increase. Accrued bonus expense, which varies with our overall profitability and return on investment, increased approximately $12.5 million and totaled approximately $20.9 million for the quarter. The remaining increase was primarily due to increases in salaries and wages, sales compensation, and travel related expenses.</w:t>
      </w:r>
    </w:p>
    <w:p>
      <w:pPr>
        <w:spacing w:after="0" w:line="16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Earnings from operations for the Retail reportable segment increased in the second quarter of 2021 compared to 2020 by $16.3 million, or 36%, as a result of the factors mentioned above.</w:t>
      </w:r>
    </w:p>
    <w:p>
      <w:pPr>
        <w:spacing w:after="0" w:line="170"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Net sales in the first six months of 2021 increased 110% compared to the same period of 2020, due to a 58% increase in selling prices, a 4% increase in organic unit sales, and a 48% increase in unit sales from acquired operations. Organic unit increases of 29% of Deckorators, 26% of UFP Edge, and 14% of Outdoor Essentials, were offset by organic unit declines of 11% of ProWood. The transfer of approximately $16 million in sales to the retail segment from the construction segment discussed above contributed to unit growth in the retail segment. Sales to big box customers were up 99% (42% organic) and sales to other independent retailers increased 88% (87% organic).</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Gross profits increased 75.4% to $222.8 million in the first six months of 2021 compared to the same period of 2020. Our increase in gross profit was attributable to the following:</w:t>
      </w:r>
    </w:p>
    <w:p>
      <w:pPr>
        <w:spacing w:after="0" w:line="170" w:lineRule="exact"/>
        <w:rPr>
          <w:sz w:val="20"/>
          <w:szCs w:val="20"/>
          <w:color w:val="auto"/>
        </w:rPr>
      </w:pPr>
    </w:p>
    <w:p>
      <w:pPr>
        <w:ind w:left="720" w:right="79" w:hanging="319"/>
        <w:spacing w:after="0" w:line="308" w:lineRule="auto"/>
        <w:tabs>
          <w:tab w:leader="none" w:pos="7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Increased unit sales and leveraging fixed costs of value-added products within our Deckorators, Outdoor Essentials, Handprint, and UFP Edge business units contributed $16.2 of additional gross profit.</w:t>
      </w:r>
    </w:p>
    <w:p>
      <w:pPr>
        <w:spacing w:after="0" w:line="146" w:lineRule="exact"/>
        <w:rPr>
          <w:rFonts w:ascii="Arial" w:cs="Arial" w:eastAsia="Arial" w:hAnsi="Arial"/>
          <w:sz w:val="17"/>
          <w:szCs w:val="17"/>
          <w:color w:val="auto"/>
        </w:rPr>
      </w:pPr>
    </w:p>
    <w:p>
      <w:pPr>
        <w:ind w:left="720" w:right="79" w:hanging="319"/>
        <w:spacing w:after="0" w:line="308" w:lineRule="auto"/>
        <w:tabs>
          <w:tab w:leader="none" w:pos="7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Retail Building Materials business unit contributed $28.8 million to the increase. This increase is primarily due to unit sales growth and rising lumber and panel pricing combined with effective inventory positioning.</w:t>
      </w:r>
    </w:p>
    <w:p>
      <w:pPr>
        <w:spacing w:after="0" w:line="146" w:lineRule="exact"/>
        <w:rPr>
          <w:rFonts w:ascii="Arial" w:cs="Arial" w:eastAsia="Arial" w:hAnsi="Arial"/>
          <w:sz w:val="17"/>
          <w:szCs w:val="17"/>
          <w:color w:val="auto"/>
        </w:rPr>
      </w:pPr>
    </w:p>
    <w:p>
      <w:pPr>
        <w:ind w:left="720" w:right="79" w:hanging="319"/>
        <w:spacing w:after="0" w:line="277"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ProWood business unit contributed $36.9 million to the increase in gross profit, including the lower of cost or net realizable value adjustment to inventory and cost of goods sold discussed above.</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Acquisitions contributed $13.9 million to the increase including the lower of cost or net realizable value adjustment to inventory and cost of goods sold above.</w:t>
      </w:r>
    </w:p>
    <w:p>
      <w:pPr>
        <w:spacing w:after="0" w:line="170"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Selling, general and administrative (“SG&amp;A”) expenses increased by approximately $40.4 million, or 60.2%, in the first six months of 2021 compared to the same period of 2020. The SG&amp;A of recently acquired businesses contributed approximately $9.1 million to this increase. Accrued bonus expense, which varies with our overall profitability and return on investment, increased approximately $23 million and totaled approximately $34.9 for the first six months of 2021. The remaining increase was primarily due to increases in salaries and wages and sales compensation.</w:t>
      </w:r>
    </w:p>
    <w:p>
      <w:pPr>
        <w:spacing w:after="0" w:line="1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Earnings from operations for the Retail reportable segment increased in the first six months of 2021 compared to 2020 by $55.7 million, or 93.0% as a result of the factors mentioned above.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Industrial Segment</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Net sales in the second quarter of 2021 increased 172% compared to the same period of 2020, due to a 26% increase in organic unit sales, a 99% increase in selling prices attributable to the Lumber Market, and a 47% increase in unit sales from recent acquisitions.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Gross profits increased by $97.3 million, or 261.7%, for the second quarter of 2021 compared to the same period last year. Acquisitions contributed $23.1 million to the increase in gross profit. The remaining increase was primarily due to organic unit sales growth and leveraging fixed costs as well as favorable changes in sales mix. In addition, we were able to maintain our profit per unit by more effectively passing on commodity lumber and other cost increases in our selling prices.</w:t>
      </w:r>
    </w:p>
    <w:p>
      <w:pPr>
        <w:spacing w:after="0" w:line="188"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Selling, general and administrative (“SG&amp;A”) expenses increased by approximately $33.2 million, or 153.3%, in the second quarter of 2021 compared to the same period of 2020. Acquired operations since the second quarter of 2020 contributed approximately $7.4 million to our increase in costs. Accrued bonus expense, which varies with our overall profitability and return on investment, increased approximately $18.8 million, and totaled $21.0 million for the quarter. The remaining increase was primarily due to increases in salaries and wages, sales compensation, and travel related expenses.</w:t>
      </w:r>
    </w:p>
    <w:p>
      <w:pPr>
        <w:spacing w:after="0" w:line="16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Earnings from operations for the Industrial reportable segment increased in the second quarter of 2021 compared to 2020 by $64.1 million, or 415.7%, due to the factors discussed above.</w:t>
      </w:r>
    </w:p>
    <w:p>
      <w:pPr>
        <w:spacing w:after="0" w:line="17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Net sales in the first six months of 2021 increased 120% compared to the same period of 2020, due to a 66% increase in selling prices attributable to the Lumber Market, a 15% increase in organic unit sales, and a 39% increase in unit sales from recent acquisitions.</w:t>
      </w:r>
    </w:p>
    <w:p>
      <w:pPr>
        <w:spacing w:after="0" w:line="18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Gross profits in the first six months of 2021 increased 170.3% to $214.8 million compared to the same period of 2020. Acquisitions contributed $36.4 million to the increase in gross profit. The remaining increase was primarily due to organic unit sales growth and leveraging fixed costs as well as favorable changes in sales mix. In addition, we were able to maintain our profit per unit by more effectively passing on commodity lumber and other cost increases in our selling prices.</w:t>
      </w:r>
    </w:p>
    <w:p>
      <w:pPr>
        <w:spacing w:after="0" w:line="188"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Selling, general and administrative (“SG&amp;A”) expenses increased by approximately $47.4 million, or 99.7%, in the first six months of 2021 compared to the same period of 2020. Acquired operations since the second quarter of 2020 contributed approximately $12.7 million to total SG&amp;A expenses. Accrued bonus expense increased approximately $25.3 million compared to the same period of 2020 and totaled approximately $31.7 for the first six months of 2021. The remaining increase was primarily due to increases in salaries and wages and sales compensation.</w:t>
      </w:r>
    </w:p>
    <w:p>
      <w:pPr>
        <w:spacing w:after="0" w:line="1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Earnings from operations for the Industrial reportable segment increased in the first six months of 2021 compared to 2020 by $88.1 million, or 277.2%, due to the factors mentioned above.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Construction Segment</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Net sales in the second quarter of 2021 increased 106% compared to the same period of 2020, due to a 77% increase in selling prices attributable to the Lumber Market and unit sales growth of 29%, including 3% from recent acquisitions. Organic unit changes within this segment consisted of increases of 56% in factory-built housing, 24% in site-built construction, 11% in commercial construction, offset by a 34% decrease in concrete forming. The transfer of approximately $8 million in sales to the retail segment from the construction segment discussed above contributed to the unit decline in the concrete forming business unit.</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6"/>
          <w:szCs w:val="16"/>
          <w:color w:val="auto"/>
        </w:rPr>
        <w:t>Gross profits increased by $72.6 million, or 117.7%, for the second quarter of 2021 compared to the same period of 2020.</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increase in our gross profit was comprised of the following factors:</w:t>
      </w:r>
    </w:p>
    <w:p>
      <w:pPr>
        <w:spacing w:after="0" w:line="211" w:lineRule="exact"/>
        <w:rPr>
          <w:sz w:val="20"/>
          <w:szCs w:val="20"/>
          <w:color w:val="auto"/>
        </w:rPr>
      </w:pPr>
    </w:p>
    <w:p>
      <w:pPr>
        <w:ind w:left="720" w:right="79" w:hanging="319"/>
        <w:spacing w:after="0" w:line="308" w:lineRule="auto"/>
        <w:tabs>
          <w:tab w:leader="none" w:pos="7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Gross profits in our factory-built housing business unit increased $34.3 million as a result of increased unit sales and leveraging fixed costs and the impact of rising lumber prices on products sold with a variable price.</w:t>
      </w:r>
    </w:p>
    <w:p>
      <w:pPr>
        <w:spacing w:after="0" w:line="146" w:lineRule="exact"/>
        <w:rPr>
          <w:rFonts w:ascii="Arial" w:cs="Arial" w:eastAsia="Arial" w:hAnsi="Arial"/>
          <w:sz w:val="17"/>
          <w:szCs w:val="17"/>
          <w:color w:val="auto"/>
        </w:rPr>
      </w:pPr>
    </w:p>
    <w:p>
      <w:pPr>
        <w:jc w:val="both"/>
        <w:ind w:left="720" w:right="79" w:hanging="319"/>
        <w:spacing w:after="0" w:line="263"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Gross profits in our site-built construction business unit increased by $28.7 million due to unit sales growth and leveraging fixed costs. In addition, we were able to maintain our profit per unit by more effectively passing on commodity lumber and other cost increases in our selling prices.</w:t>
      </w:r>
    </w:p>
    <w:p>
      <w:pPr>
        <w:sectPr>
          <w:pgSz w:w="11900" w:h="16838" w:orient="portrait"/>
          <w:cols w:equalWidth="0" w:num="1">
            <w:col w:w="9019"/>
          </w:cols>
          <w:pgMar w:left="1440" w:top="544"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00" w:lineRule="exact"/>
        <w:rPr>
          <w:sz w:val="20"/>
          <w:szCs w:val="20"/>
          <w:color w:val="auto"/>
        </w:rPr>
      </w:pPr>
    </w:p>
    <w:p>
      <w:pPr>
        <w:spacing w:after="0" w:line="245" w:lineRule="exact"/>
        <w:rPr>
          <w:sz w:val="20"/>
          <w:szCs w:val="20"/>
          <w:color w:val="auto"/>
        </w:rPr>
      </w:pPr>
    </w:p>
    <w:p>
      <w:pPr>
        <w:ind w:left="720" w:right="79" w:hanging="319"/>
        <w:spacing w:after="0" w:line="277"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gross profit of our commercial construction business unit increased $1.8 million as a result of increased unit sales.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gross profit of our concrete forming business unit increased by $5.6 million.</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Acquired businesses contributed $2.2 million.</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Selling, general and administrative (“SG&amp;A”) expenses increased by approximately $24.7 million, or 58.4%, in the second quarter of 2021 compared to the same period of 2020. Acquired operations since the second quarter of 2020 contributed approximately $1.2 million to total SG&amp;A expenses for the quarter. Accrued bonus expense, which varies with our overall profitability and return on investment, increased approximately $14.5 million, and totaled $17.7 million for the quarter. The remaining increase was primarily due to increases in salaries and wages, sales compensation, professional design fees, and travel related expenses.</w:t>
      </w:r>
    </w:p>
    <w:p>
      <w:pPr>
        <w:spacing w:after="0" w:line="1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Earnings from operations for the Construction reportable segment increased in the second quarter of 2021 compared to 2020 by $47.6 million, or 243.4%, due to the factors mentioned above.</w:t>
      </w:r>
    </w:p>
    <w:p>
      <w:pPr>
        <w:spacing w:after="0" w:line="170"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Net sales in the first six months of 2021 increased 75% compared to the same period of 2020, due to a 57% increase in selling prices primarily due to the Lumber Market and unit sales growth of 18%, including 3% from acquisitions. Organic unit changes within this segment consisted of increases of 34% in factory-built housing, 20% in site-built construction, and 1% in commercial construction. These increases were offset by a unit decline of 37% in concrete forming. The transfer of approximately $16 million in sales to the retail segment from the construction segment discussed above contributed to the unit decline in the concrete forming business unit.</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6"/>
          <w:szCs w:val="16"/>
          <w:color w:val="auto"/>
        </w:rPr>
        <w:t>Gross profits increased by $100.5 million, or 82.1% for the first six months of 2021 compared to the same period of 2020.</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increase in our gross profits was comprised of the following factors:</w:t>
      </w:r>
    </w:p>
    <w:p>
      <w:pPr>
        <w:spacing w:after="0" w:line="211" w:lineRule="exact"/>
        <w:rPr>
          <w:sz w:val="20"/>
          <w:szCs w:val="20"/>
          <w:color w:val="auto"/>
        </w:rPr>
      </w:pPr>
    </w:p>
    <w:p>
      <w:pPr>
        <w:ind w:left="720" w:right="79" w:hanging="319"/>
        <w:spacing w:after="0" w:line="308" w:lineRule="auto"/>
        <w:tabs>
          <w:tab w:leader="none" w:pos="7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Gross profits in our factory-built housing business unit increased by $48.1 million as a result of increased unit sales and leveraging fixed costs and the impact of rising lumber prices on products sold with a variable price.</w:t>
      </w:r>
    </w:p>
    <w:p>
      <w:pPr>
        <w:spacing w:after="0" w:line="146" w:lineRule="exact"/>
        <w:rPr>
          <w:rFonts w:ascii="Arial" w:cs="Arial" w:eastAsia="Arial" w:hAnsi="Arial"/>
          <w:sz w:val="17"/>
          <w:szCs w:val="17"/>
          <w:color w:val="auto"/>
        </w:rPr>
      </w:pPr>
    </w:p>
    <w:p>
      <w:pPr>
        <w:jc w:val="both"/>
        <w:ind w:left="720" w:right="79" w:hanging="319"/>
        <w:spacing w:after="0" w:line="263"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Gross profits in our site-built construction business unit increased by $42.5 million due to unit sales growth and leveraging fixed costs. In addition, we were able to maintain our profit per unit by more effectively passing on commodity lumber and other cost increases in our selling prices.</w:t>
      </w:r>
    </w:p>
    <w:p>
      <w:pPr>
        <w:spacing w:after="0" w:line="183"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gross profit of our commercial construction business unit increased $1.7 million as a result of increased unit sales.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gross profit of our concrete forming business unit increased $5.2 million due to the factors discussed above.</w:t>
      </w:r>
    </w:p>
    <w:p>
      <w:pPr>
        <w:spacing w:after="0" w:line="248" w:lineRule="exact"/>
        <w:rPr>
          <w:rFonts w:ascii="Arial" w:cs="Arial" w:eastAsia="Arial" w:hAnsi="Arial"/>
          <w:sz w:val="16"/>
          <w:szCs w:val="16"/>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Acquired businesses contributed $3.0 million.</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Selling, general and administrative (“SG&amp;A”) expenses increased by approximately $33.8 million, or 38.1%, in the first six months of 2021 compared to the same period of 2020. Acquired operations since the second quarter of 2020 contributed approximately $1.7 million to total SG&amp;A expenses. Accrued bonus expense increased approximately $20.0 million compared to the same period of 2020 and totaled approximately $26.7 million for the first six months of 2021. The remaining increase was primarily due to increases in salaries and wages, sales compensation, and professional design fees.</w:t>
      </w:r>
    </w:p>
    <w:p>
      <w:pPr>
        <w:spacing w:after="0" w:line="16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Earnings from operations for the Construction reportable segment increased in the first six months of 2021 compared to 2020 by $66.1 million, or 194.2%, due to the factors mentioned above.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All Other Segment</w:t>
      </w:r>
    </w:p>
    <w:p>
      <w:pPr>
        <w:sectPr>
          <w:pgSz w:w="11900" w:h="16838" w:orient="portrait"/>
          <w:cols w:equalWidth="0" w:num="1">
            <w:col w:w="9019"/>
          </w:cols>
          <w:pgMar w:left="1440" w:top="544" w:right="1440"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00" w:lineRule="exact"/>
        <w:rPr>
          <w:sz w:val="20"/>
          <w:szCs w:val="20"/>
          <w:color w:val="auto"/>
        </w:rPr>
      </w:pPr>
    </w:p>
    <w:p>
      <w:pPr>
        <w:spacing w:after="0" w:line="24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Our All Other reportable segment consists of our International and Ardellis (our insurance captive) segments that are not significant.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Corporate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corporate segment consists of over (under) allocated costs that are not significant.</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Effective tax rates differ from statutory federal income tax rates, primarily due to provisions for foreign, state and local income taxes and permanent tax differences. Our effective tax rate was 25.0% in the second quarter of 2021 compared to 25.3% for same period in 2020 and was 24.4% in the first six months of 2021 compared to 25.1% for the same period in 2020</w:t>
      </w:r>
      <w:r>
        <w:rPr>
          <w:rFonts w:ascii="Arial" w:cs="Arial" w:eastAsia="Arial" w:hAnsi="Arial"/>
          <w:sz w:val="18"/>
          <w:szCs w:val="18"/>
          <w:color w:val="212529"/>
        </w:rPr>
        <w:t>.</w:t>
      </w:r>
      <w:r>
        <w:rPr>
          <w:rFonts w:ascii="Arial" w:cs="Arial" w:eastAsia="Arial" w:hAnsi="Arial"/>
          <w:sz w:val="18"/>
          <w:szCs w:val="18"/>
          <w:color w:val="auto"/>
        </w:rPr>
        <w:t xml:space="preserve"> The decrease was primarily due to a decrease in permanent tax differences in 2021 compared to the prior year, none of which are individually significant.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TRANSACTIONS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no significant off-balance sheet transactions.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table below presents, for the periods indicated, a summary of our cash flow statement (in thousands):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8"/>
        </w:trPr>
        <w:tc>
          <w:tcPr>
            <w:tcW w:w="57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4"/>
                <w:szCs w:val="14"/>
                <w:b w:val="1"/>
                <w:bCs w:val="1"/>
                <w:color w:val="auto"/>
              </w:rPr>
              <w:t>Six Months Ended</w:t>
            </w:r>
          </w:p>
        </w:tc>
      </w:tr>
      <w:tr>
        <w:trPr>
          <w:trHeight w:val="126"/>
        </w:trPr>
        <w:tc>
          <w:tcPr>
            <w:tcW w:w="57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ind w:right="115"/>
              <w:spacing w:after="0" w:line="126" w:lineRule="exact"/>
              <w:rPr>
                <w:sz w:val="20"/>
                <w:szCs w:val="20"/>
                <w:color w:val="auto"/>
              </w:rPr>
            </w:pPr>
            <w:r>
              <w:rPr>
                <w:rFonts w:ascii="Arial" w:cs="Arial" w:eastAsia="Arial" w:hAnsi="Arial"/>
                <w:sz w:val="14"/>
                <w:szCs w:val="14"/>
                <w:b w:val="1"/>
                <w:bCs w:val="1"/>
                <w:color w:val="auto"/>
                <w:w w:val="96"/>
              </w:rPr>
              <w:t>June 26,</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right"/>
              <w:ind w:right="94"/>
              <w:spacing w:after="0" w:line="126" w:lineRule="exact"/>
              <w:rPr>
                <w:sz w:val="20"/>
                <w:szCs w:val="20"/>
                <w:color w:val="auto"/>
              </w:rPr>
            </w:pPr>
            <w:r>
              <w:rPr>
                <w:rFonts w:ascii="Arial" w:cs="Arial" w:eastAsia="Arial" w:hAnsi="Arial"/>
                <w:sz w:val="14"/>
                <w:szCs w:val="14"/>
                <w:b w:val="1"/>
                <w:bCs w:val="1"/>
                <w:color w:val="auto"/>
                <w:w w:val="92"/>
              </w:rPr>
              <w:t>June 27,</w:t>
            </w:r>
          </w:p>
        </w:tc>
      </w:tr>
      <w:tr>
        <w:trPr>
          <w:trHeight w:val="178"/>
        </w:trPr>
        <w:tc>
          <w:tcPr>
            <w:tcW w:w="578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2020</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(115,733)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147,210</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3"/>
              </w:rPr>
              <w:t>(513,998)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(66,212)</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Cash from (used in) financing activities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237,926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(46,972)</w:t>
            </w:r>
          </w:p>
        </w:tc>
      </w:tr>
      <w:tr>
        <w:trPr>
          <w:trHeight w:val="223"/>
        </w:trPr>
        <w:tc>
          <w:tcPr>
            <w:tcW w:w="5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 changes on cash</w:t>
            </w:r>
          </w:p>
        </w:tc>
        <w:tc>
          <w:tcPr>
            <w:tcW w:w="1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all cash and cash equivalents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(391,693)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32,604</w:t>
            </w:r>
          </w:p>
        </w:tc>
      </w:tr>
      <w:tr>
        <w:trPr>
          <w:trHeight w:val="223"/>
        </w:trPr>
        <w:tc>
          <w:tcPr>
            <w:tcW w:w="5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436,608</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168,666</w:t>
            </w:r>
          </w:p>
        </w:tc>
      </w:tr>
      <w:tr>
        <w:trPr>
          <w:trHeight w:val="216"/>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44,915</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201,270</w:t>
            </w:r>
          </w:p>
        </w:tc>
      </w:tr>
      <w:tr>
        <w:trPr>
          <w:trHeight w:val="20"/>
        </w:trPr>
        <w:tc>
          <w:tcPr>
            <w:tcW w:w="5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general, we fund our growth through a combination of operating cash flows, our revolving credit facility, industrial development bonds (when circumstances permit), and issuance of long-term notes payable at times when interest rates are favorable. We have not issued equity to finance growth except in the case of a large acquisition. We manage our capital structure by attempting to maintain a targeted ratio of debt to equity and debt to earnings before interest, taxes, depreciation and amortization. We believe this is one of many important factors to maintaining a strong credit profile, which in turn helps ensure timely access to capital when needed.</w:t>
      </w:r>
    </w:p>
    <w:p>
      <w:pPr>
        <w:spacing w:after="0" w:line="192"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Seasonality has a significant impact on our working capital due to our primary selling season which occurs during the period from March to September. Consequently, our working capital increases during our first and second quarters which typically results in negative or modest cash flows from operations during those periods. Conversely, we typically experience a substantial decrease in working capital once we move beyond our peak selling season which typically results in significant cash flows from operations in our third and fourth quarters. As explained in more detail below, the unusually large increase in lumber prices this year, as well as the significant increase in sales, resulted in a more significant increase in net working capital this year relative to prior years.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Due to the seasonality of our business and the effects of the Lumber Market, we believe our cash cycle (days of sales outstanding plus days supply of inventory less days payables outstanding) is a good indicator of our working capital management. As indicated in the table below, our cash cycle improved to 48 days from 49 days during the second quarter and to 49 days from 54 days during the first six months of 2021 compared to the respective prior periods.</w:t>
      </w:r>
    </w:p>
    <w:p>
      <w:pPr>
        <w:spacing w:after="0" w:line="176" w:lineRule="exact"/>
        <w:rPr>
          <w:sz w:val="20"/>
          <w:szCs w:val="20"/>
          <w:color w:val="auto"/>
        </w:rPr>
      </w:pPr>
    </w:p>
    <w:tbl>
      <w:tblPr>
        <w:tblLayout w:type="fixed"/>
        <w:tblInd w:w="1080" w:type="dxa"/>
        <w:tblCellMar>
          <w:top w:w="0" w:type="dxa"/>
          <w:left w:w="0" w:type="dxa"/>
          <w:bottom w:w="0" w:type="dxa"/>
          <w:right w:w="0" w:type="dxa"/>
        </w:tblCellMar>
      </w:tblPr>
      <w:tr>
        <w:trPr>
          <w:trHeight w:val="178"/>
        </w:trPr>
        <w:tc>
          <w:tcPr>
            <w:tcW w:w="4120" w:type="dxa"/>
            <w:vAlign w:val="bottom"/>
          </w:tcPr>
          <w:p>
            <w:pPr>
              <w:spacing w:after="0"/>
              <w:rPr>
                <w:sz w:val="15"/>
                <w:szCs w:val="15"/>
                <w:color w:val="auto"/>
              </w:rPr>
            </w:pPr>
          </w:p>
        </w:tc>
        <w:tc>
          <w:tcPr>
            <w:tcW w:w="150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w:t>
            </w:r>
          </w:p>
        </w:tc>
        <w:tc>
          <w:tcPr>
            <w:tcW w:w="1260" w:type="dxa"/>
            <w:vAlign w:val="bottom"/>
            <w:gridSpan w:val="4"/>
          </w:tcPr>
          <w:p>
            <w:pPr>
              <w:ind w:left="60"/>
              <w:spacing w:after="0"/>
              <w:rPr>
                <w:sz w:val="20"/>
                <w:szCs w:val="20"/>
                <w:color w:val="auto"/>
              </w:rPr>
            </w:pPr>
            <w:r>
              <w:rPr>
                <w:rFonts w:ascii="Arial" w:cs="Arial" w:eastAsia="Arial" w:hAnsi="Arial"/>
                <w:sz w:val="14"/>
                <w:szCs w:val="14"/>
                <w:b w:val="1"/>
                <w:bCs w:val="1"/>
                <w:color w:val="auto"/>
                <w:w w:val="97"/>
              </w:rPr>
              <w:t>Six Months Ended</w:t>
            </w:r>
          </w:p>
        </w:tc>
      </w:tr>
      <w:tr>
        <w:trPr>
          <w:trHeight w:val="126"/>
        </w:trPr>
        <w:tc>
          <w:tcPr>
            <w:tcW w:w="4120" w:type="dxa"/>
            <w:vAlign w:val="bottom"/>
          </w:tcPr>
          <w:p>
            <w:pPr>
              <w:spacing w:after="0"/>
              <w:rPr>
                <w:sz w:val="10"/>
                <w:szCs w:val="10"/>
                <w:color w:val="auto"/>
              </w:rPr>
            </w:pPr>
          </w:p>
        </w:tc>
        <w:tc>
          <w:tcPr>
            <w:tcW w:w="760" w:type="dxa"/>
            <w:vAlign w:val="bottom"/>
            <w:tcBorders>
              <w:top w:val="single" w:sz="8" w:color="auto"/>
            </w:tcBorders>
            <w:gridSpan w:val="2"/>
          </w:tcPr>
          <w:p>
            <w:pPr>
              <w:ind w:left="40"/>
              <w:spacing w:after="0" w:line="126" w:lineRule="exact"/>
              <w:rPr>
                <w:sz w:val="20"/>
                <w:szCs w:val="20"/>
                <w:color w:val="auto"/>
              </w:rPr>
            </w:pPr>
            <w:r>
              <w:rPr>
                <w:rFonts w:ascii="Arial" w:cs="Arial" w:eastAsia="Arial" w:hAnsi="Arial"/>
                <w:sz w:val="14"/>
                <w:szCs w:val="14"/>
                <w:b w:val="1"/>
                <w:bCs w:val="1"/>
                <w:color w:val="auto"/>
              </w:rPr>
              <w:t>June 26,</w:t>
            </w:r>
          </w:p>
        </w:tc>
        <w:tc>
          <w:tcPr>
            <w:tcW w:w="56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b w:val="1"/>
                <w:bCs w:val="1"/>
                <w:color w:val="auto"/>
                <w:w w:val="92"/>
              </w:rPr>
              <w:t>June 27,</w:t>
            </w:r>
          </w:p>
        </w:tc>
        <w:tc>
          <w:tcPr>
            <w:tcW w:w="180" w:type="dxa"/>
            <w:vAlign w:val="bottom"/>
          </w:tcPr>
          <w:p>
            <w:pPr>
              <w:spacing w:after="0"/>
              <w:rPr>
                <w:sz w:val="10"/>
                <w:szCs w:val="10"/>
                <w:color w:val="auto"/>
              </w:rPr>
            </w:pPr>
          </w:p>
        </w:tc>
        <w:tc>
          <w:tcPr>
            <w:tcW w:w="700" w:type="dxa"/>
            <w:vAlign w:val="bottom"/>
            <w:tcBorders>
              <w:top w:val="single" w:sz="8" w:color="auto"/>
            </w:tcBorders>
            <w:gridSpan w:val="2"/>
          </w:tcPr>
          <w:p>
            <w:pPr>
              <w:spacing w:after="0" w:line="126" w:lineRule="exact"/>
              <w:rPr>
                <w:sz w:val="20"/>
                <w:szCs w:val="20"/>
                <w:color w:val="auto"/>
              </w:rPr>
            </w:pPr>
            <w:r>
              <w:rPr>
                <w:rFonts w:ascii="Arial" w:cs="Arial" w:eastAsia="Arial" w:hAnsi="Arial"/>
                <w:sz w:val="14"/>
                <w:szCs w:val="14"/>
                <w:b w:val="1"/>
                <w:bCs w:val="1"/>
                <w:color w:val="auto"/>
              </w:rPr>
              <w:t>June 26,</w:t>
            </w:r>
          </w:p>
        </w:tc>
        <w:tc>
          <w:tcPr>
            <w:tcW w:w="54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b w:val="1"/>
                <w:bCs w:val="1"/>
                <w:color w:val="auto"/>
                <w:w w:val="89"/>
              </w:rPr>
              <w:t>June 27,</w:t>
            </w:r>
          </w:p>
        </w:tc>
        <w:tc>
          <w:tcPr>
            <w:tcW w:w="20" w:type="dxa"/>
            <w:vAlign w:val="bottom"/>
          </w:tcPr>
          <w:p>
            <w:pPr>
              <w:spacing w:after="0"/>
              <w:rPr>
                <w:sz w:val="10"/>
                <w:szCs w:val="10"/>
                <w:color w:val="auto"/>
              </w:rPr>
            </w:pPr>
          </w:p>
        </w:tc>
      </w:tr>
      <w:tr>
        <w:trPr>
          <w:trHeight w:val="178"/>
        </w:trPr>
        <w:tc>
          <w:tcPr>
            <w:tcW w:w="41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Days of sales outstanding</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Days supply of inventory</w:t>
            </w:r>
          </w:p>
        </w:tc>
        <w:tc>
          <w:tcPr>
            <w:tcW w:w="58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r>
      <w:tr>
        <w:trPr>
          <w:trHeight w:val="23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Days payables outstanding</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0"/>
                <w:szCs w:val="20"/>
                <w:color w:val="auto"/>
              </w:rPr>
            </w:pPr>
          </w:p>
        </w:tc>
      </w:tr>
      <w:tr>
        <w:trPr>
          <w:trHeight w:val="203"/>
        </w:trPr>
        <w:tc>
          <w:tcPr>
            <w:tcW w:w="41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Days in cash cycle</w:t>
            </w:r>
          </w:p>
        </w:tc>
        <w:tc>
          <w:tcPr>
            <w:tcW w:w="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w:t>
            </w:r>
          </w:p>
        </w:tc>
        <w:tc>
          <w:tcPr>
            <w:tcW w:w="180" w:type="dxa"/>
            <w:vAlign w:val="bottom"/>
            <w:tcBorders>
              <w:top w:val="single" w:sz="8" w:color="CCEEFF"/>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w:t>
            </w:r>
          </w:p>
        </w:tc>
        <w:tc>
          <w:tcPr>
            <w:tcW w:w="180" w:type="dxa"/>
            <w:vAlign w:val="bottom"/>
            <w:tcBorders>
              <w:top w:val="single" w:sz="8" w:color="CCEEFF"/>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w:t>
            </w:r>
          </w:p>
        </w:tc>
        <w:tc>
          <w:tcPr>
            <w:tcW w:w="180" w:type="dxa"/>
            <w:vAlign w:val="bottom"/>
            <w:tcBorders>
              <w:top w:val="single" w:sz="8" w:color="CCEEFF"/>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r>
      <w:tr>
        <w:trPr>
          <w:trHeight w:val="20"/>
        </w:trPr>
        <w:tc>
          <w:tcPr>
            <w:tcW w:w="4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consistency in our days sales outstanding is a result of continued focus on timely collection efforts in all of our segments. The decrease in our days supply of inventory in the first six months of 2021 compared to the same period of 2020 was primarily due to strong demand in all of our market segments in 2021, which contributed to higher inventory turns.</w:t>
      </w:r>
    </w:p>
    <w:p>
      <w:pPr>
        <w:spacing w:after="0" w:line="187"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In the first six months of 2021, our cash used in operating activities was $115.7 million, which was comprised of net earnings of $279.6 million and $48.6 million of non-cash expenses, offset by a $443.9 million increase in working capital since the end of December 2020. Our operating cash flow this year declined by $262.9 million compared to the same period of last year primarily due to an increase in our seasonal investment in net working capital since the end of 2020, compared to the prior year period. This increase was due to unusually high lumber prices and increased market demand and net sales in each of our segments. PalletOne and other acquisitions also contributed to the increase in our seasonal investment in net working capital.</w:t>
      </w:r>
    </w:p>
    <w:p>
      <w:pPr>
        <w:spacing w:after="0" w:line="19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Acquisitions and purchases of property, plant, and equipment comprised most of our cash used in investing activities during the first six months of 2021 and totaled $433.2 million and $79.0 million, respectively. Outstanding purchase commitments on existing capital projects totaled approximately $45.1 million on June 26, 2021. Capital spending primarily consists of several projects to expand manufacturing capacity to serve retail, industrial and construction customers and achieve efficiencies through automation, make improvements to a number of facilities, and increase our transportation capacity (tractors, trailers) in order to meet higher volumes and replace old rolling stock. We intend to fund capital expenditures and purchase commitments through our operating cash flows for the balance of the year. We currently plan to spend approximately $140 million on capital projects for the year. Notable areas of capital spending include projects to increase the capacity and efficiency of our plants that produce our Deckorators mineral-based composite decking and wood-plastic composite decking and our UFP Edge siding, pattern and trim products, expand our machine-built pallet capacity, and take advantage of automation opportunities.</w:t>
      </w:r>
    </w:p>
    <w:p>
      <w:pPr>
        <w:spacing w:after="0" w:line="18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Cash flows from financing activities primarily consisted of net borrowings of debt of approximately $260.2 million, the payment of quarterly dividends totaling $18.6 million ($0.15 per share), and distributions to noncontrolling interests of $2.9 million.</w:t>
      </w:r>
    </w:p>
    <w:p>
      <w:pPr>
        <w:spacing w:after="0" w:line="184"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On June 26, 2021, we had $265 million outstanding on our $550 million revolving credit facility, and we had approximately $277.9 million in remaining availability after considering $7.1 million in outstanding letters of credit. Financial covenants on the unsecured revolving credit facility and unsecured notes include minimum interest tests and a maximum leverage ratio. The agreements also restrict the amount of additional indebtedness we may incur and the amount of assets which may be sold. We were in compliance with all our covenant requirements on June 26, 2021.</w:t>
      </w:r>
    </w:p>
    <w:p>
      <w:pPr>
        <w:spacing w:after="0" w:line="1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At the end of the second quarter of 2021 we have approximately $288.0 million in total liquidity, consisting of our cash surplus and remaining availability under our revolving credit facility. We anticipate our liquidity will increase substantially in the last six months of 2021 if lumber prices and demand normalize and we convert our seasonal increase in net working capital to cash.</w:t>
      </w:r>
    </w:p>
    <w:p>
      <w:pPr>
        <w:sectPr>
          <w:pgSz w:w="11900" w:h="16838" w:orient="portrait"/>
          <w:cols w:equalWidth="0" w:num="1">
            <w:col w:w="9019"/>
          </w:cols>
          <w:pgMar w:left="1440" w:top="544"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ENVIRONMENTAL CONSIDERATIONS AND REGULATIONS</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See Notes to Unaudited Consolidated Condensed Financial Statements, Note E, “Commitments, Contingencies, and Guarantees.”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left="60" w:right="79" w:firstLine="648"/>
        <w:spacing w:after="0" w:line="279" w:lineRule="auto"/>
        <w:rPr>
          <w:sz w:val="20"/>
          <w:szCs w:val="20"/>
          <w:color w:val="auto"/>
        </w:rPr>
      </w:pPr>
      <w:r>
        <w:rPr>
          <w:rFonts w:ascii="Arial" w:cs="Arial" w:eastAsia="Arial" w:hAnsi="Arial"/>
          <w:sz w:val="17"/>
          <w:szCs w:val="17"/>
          <w:color w:val="auto"/>
        </w:rPr>
        <w:t>In preparing our consolidated financial statements, we follow accounting principles generally accepted in the United States. These principles require us to make certain estimates and apply judgments that affect our financial position and results of operations. We continually review our accounting policies and financial information disclosures. There have been no material changes in our policies or estimates since December 26, 2020.</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left="60" w:right="79"/>
        <w:spacing w:after="0" w:line="286" w:lineRule="auto"/>
        <w:rPr>
          <w:sz w:val="20"/>
          <w:szCs w:val="20"/>
          <w:color w:val="auto"/>
        </w:rPr>
      </w:pPr>
      <w:r>
        <w:rPr>
          <w:rFonts w:ascii="Arial" w:cs="Arial" w:eastAsia="Arial" w:hAnsi="Arial"/>
          <w:sz w:val="17"/>
          <w:szCs w:val="17"/>
          <w:color w:val="auto"/>
        </w:rPr>
        <w:t>We are exposed to market risks related to fluctuations in interest rates on our variable rate debt, which consists of a revolving credit facility and industrial development revenue bonds. We do not currently use interest rate swaps, futures contracts or options on futures, or other types of derivative financial instruments to mitigate this risk.</w:t>
      </w:r>
    </w:p>
    <w:p>
      <w:pPr>
        <w:spacing w:after="0" w:line="16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For fixed rate debt, changes in interest rates generally affect the fair market value, but not earnings or cash flows. Conversely, for variable rate debt, changes in interest rates generally do not influence fair market value, but do affect future earnings and cash flows. We do not have an obligation to prepay fixed rate debt prior to maturity, and as a result, interest rate risk and changes in fair market value should not have a significant impact on such debt until we would be required to refinance it.</w:t>
      </w:r>
    </w:p>
    <w:p>
      <w:pPr>
        <w:spacing w:after="0" w:line="18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are subject to fluctuations in the price of lumber. We experience significant fluctuations in the cost of commodity lumber products from primary producers (the “Lumber Market”). A variety of factors over which we have no control, including government regulations, transportation, environmental regulations, weather conditions, economic conditions, and natural disasters, impact the cost of lumber products and our selling prices. While we attempt to minimize our risk from severe price fluctuations, substantial, prolonged trends in lumber prices can affect our sales volume, our gross margins, and our profitability. We anticipate that these fluctuations will continue in the future. (See “Impact of the Lumber Market on Our Operating Results.”)</w:t>
      </w:r>
    </w:p>
    <w:p>
      <w:pPr>
        <w:spacing w:after="0" w:line="195" w:lineRule="exact"/>
        <w:rPr>
          <w:sz w:val="20"/>
          <w:szCs w:val="20"/>
          <w:color w:val="auto"/>
        </w:rPr>
      </w:pPr>
    </w:p>
    <w:p>
      <w:pPr>
        <w:jc w:val="both"/>
        <w:ind w:left="60" w:right="79"/>
        <w:spacing w:after="0" w:line="275" w:lineRule="auto"/>
        <w:rPr>
          <w:sz w:val="20"/>
          <w:szCs w:val="20"/>
          <w:color w:val="auto"/>
        </w:rPr>
      </w:pPr>
      <w:r>
        <w:rPr>
          <w:rFonts w:ascii="Arial" w:cs="Arial" w:eastAsia="Arial" w:hAnsi="Arial"/>
          <w:sz w:val="17"/>
          <w:szCs w:val="17"/>
          <w:color w:val="auto"/>
        </w:rPr>
        <w:t>Our international operations have exposure to foreign currency rate risks, primarily due to fluctuations in their local currency, which is their functional currency, compared to the U.S. Dollar. Additionally, certain of our operations enter into transactions that will be settled in a currency other than the U.S. Dollar. We may enter into forward foreign exchange rate contracts in the future to mitigate foreign currency exchange risk. Historically, our hedge contracts are deemed immaterial to the financial statements, however any material hedge contract in the future will be disclosed.</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4. Controls and Procedures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left="880" w:right="79" w:hanging="317"/>
        <w:spacing w:after="0" w:line="301" w:lineRule="auto"/>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Evaluation of Disclosure Controls and Procedures</w:t>
      </w:r>
      <w:r>
        <w:rPr>
          <w:rFonts w:ascii="Arial" w:cs="Arial" w:eastAsia="Arial" w:hAnsi="Arial"/>
          <w:sz w:val="16"/>
          <w:szCs w:val="16"/>
          <w:color w:val="auto"/>
        </w:rPr>
        <w:t>. With the participation of management, our chief executive officer and chief financial officer, after evaluating the effectiveness of our disclosure controls and procedures (as defined in Exchange Act Rules 13a – 15e and 15d – 15e) as of the quarter ended June 26, 2021 (the “Evaluation Date”), have concluded that, as of such date, our disclosure controls and procedures were effective.</w:t>
      </w:r>
    </w:p>
    <w:p>
      <w:pPr>
        <w:spacing w:after="0" w:line="157" w:lineRule="exact"/>
        <w:rPr>
          <w:rFonts w:ascii="Arial" w:cs="Arial" w:eastAsia="Arial" w:hAnsi="Arial"/>
          <w:sz w:val="16"/>
          <w:szCs w:val="16"/>
          <w:color w:val="auto"/>
        </w:rPr>
      </w:pPr>
    </w:p>
    <w:p>
      <w:pPr>
        <w:jc w:val="both"/>
        <w:ind w:left="880" w:right="79" w:hanging="317"/>
        <w:spacing w:after="0" w:line="257"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Controls</w:t>
      </w:r>
      <w:r>
        <w:rPr>
          <w:rFonts w:ascii="Arial" w:cs="Arial" w:eastAsia="Arial" w:hAnsi="Arial"/>
          <w:sz w:val="18"/>
          <w:szCs w:val="18"/>
          <w:color w:val="auto"/>
        </w:rPr>
        <w:t>. During the quarter ended June 26, 2021, there were no changes in our internal control over financial reporting that materially affected, or is reasonably likely to materially affect, our internal control over financial reporting, except for the implementation of a control to address the material weakness in control over our share-based bonus awards disclosed in our 2020 Form 10-K, which was remediated in the first quarter of 2021.</w:t>
      </w:r>
    </w:p>
    <w:p>
      <w:pPr>
        <w:sectPr>
          <w:pgSz w:w="11900" w:h="16838" w:orient="portrait"/>
          <w:cols w:equalWidth="0" w:num="1">
            <w:col w:w="9019"/>
          </w:cols>
          <w:pgMar w:left="1440" w:top="54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1A. Risk Factors</w:t>
      </w:r>
      <w:r>
        <w:rPr>
          <w:rFonts w:ascii="Arial" w:cs="Arial" w:eastAsia="Arial" w:hAnsi="Arial"/>
          <w:sz w:val="18"/>
          <w:szCs w:val="18"/>
          <w:b w:val="1"/>
          <w:bCs w:val="1"/>
          <w:color w:val="auto"/>
        </w:rPr>
        <w: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r>
        <w:rPr>
          <w:rFonts w:ascii="Arial" w:cs="Arial" w:eastAsia="Arial" w:hAnsi="Arial"/>
          <w:sz w:val="18"/>
          <w:szCs w:val="18"/>
          <w:b w:val="1"/>
          <w:bCs w:val="1"/>
          <w:color w:val="auto"/>
        </w:rPr>
        <w:t>.</w:t>
      </w:r>
    </w:p>
    <w:p>
      <w:pPr>
        <w:spacing w:after="0" w:line="229" w:lineRule="exact"/>
        <w:rPr>
          <w:sz w:val="20"/>
          <w:szCs w:val="20"/>
          <w:color w:val="auto"/>
        </w:rPr>
      </w:pPr>
    </w:p>
    <w:p>
      <w:pPr>
        <w:ind w:left="880" w:hanging="317"/>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880" w:hanging="317"/>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880" w:hanging="317"/>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Issuer purchases of equity securities.</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5940" w:type="dxa"/>
            <w:vAlign w:val="bottom"/>
            <w:gridSpan w:val="3"/>
          </w:tcPr>
          <w:p>
            <w:pPr>
              <w:ind w:left="20"/>
              <w:spacing w:after="0"/>
              <w:rPr>
                <w:sz w:val="20"/>
                <w:szCs w:val="20"/>
                <w:color w:val="auto"/>
              </w:rPr>
            </w:pPr>
            <w:r>
              <w:rPr>
                <w:rFonts w:ascii="Arial" w:cs="Arial" w:eastAsia="Arial" w:hAnsi="Arial"/>
                <w:sz w:val="14"/>
                <w:szCs w:val="14"/>
                <w:b w:val="1"/>
                <w:bCs w:val="1"/>
                <w:color w:val="auto"/>
              </w:rPr>
              <w:t>Fiscal Month</w:t>
            </w:r>
          </w:p>
        </w:tc>
        <w:tc>
          <w:tcPr>
            <w:tcW w:w="720" w:type="dxa"/>
            <w:vAlign w:val="bottom"/>
            <w:gridSpan w:val="2"/>
          </w:tcPr>
          <w:p>
            <w:pPr>
              <w:ind w:left="200"/>
              <w:spacing w:after="0"/>
              <w:rPr>
                <w:sz w:val="20"/>
                <w:szCs w:val="20"/>
                <w:color w:val="auto"/>
              </w:rPr>
            </w:pPr>
            <w:r>
              <w:rPr>
                <w:rFonts w:ascii="Arial" w:cs="Arial" w:eastAsia="Arial" w:hAnsi="Arial"/>
                <w:sz w:val="14"/>
                <w:szCs w:val="14"/>
                <w:b w:val="1"/>
                <w:bCs w:val="1"/>
                <w:color w:val="auto"/>
              </w:rPr>
              <w:t>(a)</w:t>
            </w:r>
          </w:p>
        </w:tc>
        <w:tc>
          <w:tcPr>
            <w:tcW w:w="700" w:type="dxa"/>
            <w:vAlign w:val="bottom"/>
            <w:gridSpan w:val="2"/>
          </w:tcPr>
          <w:p>
            <w:pPr>
              <w:ind w:left="180"/>
              <w:spacing w:after="0"/>
              <w:rPr>
                <w:sz w:val="20"/>
                <w:szCs w:val="20"/>
                <w:color w:val="auto"/>
              </w:rPr>
            </w:pPr>
            <w:r>
              <w:rPr>
                <w:rFonts w:ascii="Arial" w:cs="Arial" w:eastAsia="Arial" w:hAnsi="Arial"/>
                <w:sz w:val="14"/>
                <w:szCs w:val="14"/>
                <w:b w:val="1"/>
                <w:bCs w:val="1"/>
                <w:color w:val="auto"/>
              </w:rPr>
              <w:t>(b)</w:t>
            </w:r>
          </w:p>
        </w:tc>
        <w:tc>
          <w:tcPr>
            <w:tcW w:w="700" w:type="dxa"/>
            <w:vAlign w:val="bottom"/>
            <w:gridSpan w:val="2"/>
          </w:tcPr>
          <w:p>
            <w:pPr>
              <w:ind w:left="200"/>
              <w:spacing w:after="0"/>
              <w:rPr>
                <w:sz w:val="20"/>
                <w:szCs w:val="20"/>
                <w:color w:val="auto"/>
              </w:rPr>
            </w:pPr>
            <w:r>
              <w:rPr>
                <w:rFonts w:ascii="Arial" w:cs="Arial" w:eastAsia="Arial" w:hAnsi="Arial"/>
                <w:sz w:val="14"/>
                <w:szCs w:val="14"/>
                <w:b w:val="1"/>
                <w:bCs w:val="1"/>
                <w:color w:val="auto"/>
              </w:rPr>
              <w:t>(c)</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(d)</w:t>
            </w:r>
          </w:p>
        </w:tc>
      </w:tr>
      <w:tr>
        <w:trPr>
          <w:trHeight w:val="210"/>
        </w:trPr>
        <w:tc>
          <w:tcPr>
            <w:tcW w:w="58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March 28 – May 1, 2021</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1,103,957</w:t>
            </w:r>
          </w:p>
        </w:tc>
      </w:tr>
      <w:tr>
        <w:trPr>
          <w:trHeight w:val="216"/>
        </w:trPr>
        <w:tc>
          <w:tcPr>
            <w:tcW w:w="5940" w:type="dxa"/>
            <w:vAlign w:val="bottom"/>
            <w:gridSpan w:val="3"/>
          </w:tcPr>
          <w:p>
            <w:pPr>
              <w:ind w:left="20"/>
              <w:spacing w:after="0"/>
              <w:rPr>
                <w:sz w:val="20"/>
                <w:szCs w:val="20"/>
                <w:color w:val="auto"/>
              </w:rPr>
            </w:pPr>
            <w:r>
              <w:rPr>
                <w:rFonts w:ascii="Arial" w:cs="Arial" w:eastAsia="Arial" w:hAnsi="Arial"/>
                <w:sz w:val="18"/>
                <w:szCs w:val="18"/>
                <w:color w:val="auto"/>
              </w:rPr>
              <w:t>May 2 – 29, 2021</w:t>
            </w: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1,103,957</w:t>
            </w:r>
          </w:p>
        </w:tc>
      </w:tr>
      <w:tr>
        <w:trPr>
          <w:trHeight w:val="216"/>
        </w:trPr>
        <w:tc>
          <w:tcPr>
            <w:tcW w:w="59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May 30 – June 26, 2021</w:t>
            </w: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1,103,957</w:t>
            </w:r>
          </w:p>
        </w:tc>
      </w:tr>
      <w:tr>
        <w:trPr>
          <w:trHeight w:val="108"/>
        </w:trPr>
        <w:tc>
          <w:tcPr>
            <w:tcW w:w="2240" w:type="dxa"/>
            <w:vAlign w:val="bottom"/>
            <w:tcBorders>
              <w:bottom w:val="single" w:sz="8" w:color="auto"/>
            </w:tcBorders>
          </w:tcPr>
          <w:p>
            <w:pPr>
              <w:spacing w:after="0"/>
              <w:rPr>
                <w:sz w:val="9"/>
                <w:szCs w:val="9"/>
                <w:color w:val="auto"/>
              </w:rPr>
            </w:pPr>
          </w:p>
        </w:tc>
        <w:tc>
          <w:tcPr>
            <w:tcW w:w="3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r>
    </w:tbl>
    <w:p>
      <w:pPr>
        <w:spacing w:after="0" w:line="80" w:lineRule="exact"/>
        <w:rPr>
          <w:sz w:val="20"/>
          <w:szCs w:val="20"/>
          <w:color w:val="auto"/>
        </w:rPr>
      </w:pPr>
    </w:p>
    <w:p>
      <w:pPr>
        <w:ind w:left="380" w:hanging="330"/>
        <w:spacing w:after="0"/>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Total number of shares purchased.</w:t>
      </w:r>
    </w:p>
    <w:p>
      <w:pPr>
        <w:spacing w:after="0" w:line="23" w:lineRule="exact"/>
        <w:rPr>
          <w:rFonts w:ascii="Arial" w:cs="Arial" w:eastAsia="Arial" w:hAnsi="Arial"/>
          <w:sz w:val="18"/>
          <w:szCs w:val="18"/>
          <w:color w:val="auto"/>
        </w:rPr>
      </w:pPr>
    </w:p>
    <w:p>
      <w:pPr>
        <w:ind w:left="380" w:hanging="330"/>
        <w:spacing w:after="0"/>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Average price paid per share.</w:t>
      </w:r>
    </w:p>
    <w:p>
      <w:pPr>
        <w:spacing w:after="0" w:line="9" w:lineRule="exact"/>
        <w:rPr>
          <w:rFonts w:ascii="Arial" w:cs="Arial" w:eastAsia="Arial" w:hAnsi="Arial"/>
          <w:sz w:val="18"/>
          <w:szCs w:val="18"/>
          <w:color w:val="auto"/>
        </w:rPr>
      </w:pPr>
    </w:p>
    <w:p>
      <w:pPr>
        <w:ind w:left="380" w:hanging="330"/>
        <w:spacing w:after="0"/>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Total number of shares purchased as part of publicly announced plans or programs.</w:t>
      </w:r>
    </w:p>
    <w:p>
      <w:pPr>
        <w:spacing w:after="0" w:line="9" w:lineRule="exact"/>
        <w:rPr>
          <w:rFonts w:ascii="Arial" w:cs="Arial" w:eastAsia="Arial" w:hAnsi="Arial"/>
          <w:sz w:val="18"/>
          <w:szCs w:val="18"/>
          <w:color w:val="auto"/>
        </w:rPr>
      </w:pPr>
    </w:p>
    <w:p>
      <w:pPr>
        <w:ind w:left="380" w:hanging="330"/>
        <w:spacing w:after="0"/>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Maximum number of shares that may yet be purchased under the plans or programs.</w:t>
      </w:r>
    </w:p>
    <w:p>
      <w:pPr>
        <w:spacing w:after="0" w:line="211"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On November 14, 2001, the Board of Directors approved a share repurchase program (which succeeded a previous program) allowing us to repurchase up to 2.5 million shares of our common stock. On October 14, 2010, our Board authorized an additional 2 million shares to be repurchased under our share repurchase program. The total number of remaining shares that may be repurchased under the program is approximately 1.1 million.</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5. Other Information</w:t>
      </w:r>
      <w:r>
        <w:rPr>
          <w:rFonts w:ascii="Arial" w:cs="Arial" w:eastAsia="Arial" w:hAnsi="Arial"/>
          <w:sz w:val="18"/>
          <w:szCs w:val="18"/>
          <w:b w:val="1"/>
          <w:bCs w:val="1"/>
          <w:color w:val="auto"/>
        </w:rPr>
        <w: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6. Exhibits</w:t>
      </w:r>
      <w:r>
        <w:rPr>
          <w:rFonts w:ascii="Arial" w:cs="Arial" w:eastAsia="Arial" w:hAnsi="Arial"/>
          <w:sz w:val="18"/>
          <w:szCs w:val="18"/>
          <w:b w:val="1"/>
          <w:bCs w:val="1"/>
          <w:color w:val="auto"/>
        </w:rPr>
        <w:t>.</w:t>
      </w:r>
    </w:p>
    <w:p>
      <w:pPr>
        <w:spacing w:after="0" w:line="229"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The following exhibits (listed by number corresponding to the Exhibit Table as Item 601 in Regulation S-K) are filed with this report:</w:t>
      </w:r>
    </w:p>
    <w:p>
      <w:pPr>
        <w:spacing w:after="0" w:line="184" w:lineRule="exact"/>
        <w:rPr>
          <w:sz w:val="20"/>
          <w:szCs w:val="20"/>
          <w:color w:val="auto"/>
        </w:rPr>
      </w:pPr>
    </w:p>
    <w:p>
      <w:pPr>
        <w:ind w:left="540" w:hanging="490"/>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25" w:lineRule="exact"/>
        <w:rPr>
          <w:rFonts w:ascii="Arial" w:cs="Arial" w:eastAsia="Arial" w:hAnsi="Arial"/>
          <w:sz w:val="18"/>
          <w:szCs w:val="18"/>
          <w:color w:val="auto"/>
        </w:rPr>
      </w:pPr>
    </w:p>
    <w:p>
      <w:pPr>
        <w:ind w:left="1100" w:right="139" w:hanging="564"/>
        <w:spacing w:after="0" w:line="277" w:lineRule="auto"/>
        <w:tabs>
          <w:tab w:leader="none" w:pos="1100" w:val="left"/>
        </w:tabs>
        <w:numPr>
          <w:ilvl w:val="1"/>
          <w:numId w:val="32"/>
        </w:numPr>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Certificate of the Chief Executive Officer of UFP Industries, Inc., pursuant to Section 302 of the Sarbanes-</w:t>
        </w:r>
      </w:hyperlink>
      <w:hyperlink w:anchor="page38">
        <w:r>
          <w:rPr>
            <w:rFonts w:ascii="Arial" w:cs="Arial" w:eastAsia="Arial" w:hAnsi="Arial"/>
            <w:sz w:val="18"/>
            <w:szCs w:val="18"/>
            <w:u w:val="single" w:color="auto"/>
            <w:color w:val="0000EE"/>
          </w:rPr>
          <w:t>Oxley Act of 2002 (18 U.S.C. 1350).</w:t>
        </w:r>
      </w:hyperlink>
    </w:p>
    <w:p>
      <w:pPr>
        <w:spacing w:after="0" w:line="170" w:lineRule="exact"/>
        <w:rPr>
          <w:rFonts w:ascii="Arial" w:cs="Arial" w:eastAsia="Arial" w:hAnsi="Arial"/>
          <w:sz w:val="18"/>
          <w:szCs w:val="18"/>
          <w:u w:val="single" w:color="auto"/>
          <w:color w:val="0000EE"/>
        </w:rPr>
      </w:pPr>
    </w:p>
    <w:p>
      <w:pPr>
        <w:ind w:left="1100" w:right="139" w:hanging="564"/>
        <w:spacing w:after="0" w:line="277" w:lineRule="auto"/>
        <w:tabs>
          <w:tab w:leader="none" w:pos="1100" w:val="left"/>
        </w:tabs>
        <w:numPr>
          <w:ilvl w:val="1"/>
          <w:numId w:val="32"/>
        </w:numPr>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Certificate of the Chief Financial Officer of UFP Industries, Inc., pursuant to Section 302 of the Sarbanes-</w:t>
        </w:r>
      </w:hyperlink>
      <w:hyperlink w:anchor="page39">
        <w:r>
          <w:rPr>
            <w:rFonts w:ascii="Arial" w:cs="Arial" w:eastAsia="Arial" w:hAnsi="Arial"/>
            <w:sz w:val="18"/>
            <w:szCs w:val="18"/>
            <w:u w:val="single" w:color="auto"/>
            <w:color w:val="0000EE"/>
          </w:rPr>
          <w:t>Oxley Act of 2002 (18 U.S.C. 1350).</w:t>
        </w:r>
      </w:hyperlink>
    </w:p>
    <w:p>
      <w:pPr>
        <w:spacing w:after="0" w:line="170" w:lineRule="exact"/>
        <w:rPr>
          <w:rFonts w:ascii="Arial" w:cs="Arial" w:eastAsia="Arial" w:hAnsi="Arial"/>
          <w:sz w:val="18"/>
          <w:szCs w:val="18"/>
          <w:u w:val="single" w:color="auto"/>
          <w:color w:val="0000EE"/>
        </w:rPr>
      </w:pPr>
    </w:p>
    <w:p>
      <w:pPr>
        <w:ind w:left="540" w:hanging="490"/>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ind w:left="1100" w:right="139" w:hanging="564"/>
        <w:spacing w:after="0" w:line="277" w:lineRule="auto"/>
        <w:tabs>
          <w:tab w:leader="none" w:pos="1100" w:val="left"/>
        </w:tabs>
        <w:numPr>
          <w:ilvl w:val="0"/>
          <w:numId w:val="33"/>
        </w:numPr>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Certificate of the Chief Executive Officer of UFP Industries, Inc., pursuant to Section 906 of the Sarbanes-</w:t>
        </w:r>
      </w:hyperlink>
      <w:hyperlink w:anchor="page40">
        <w:r>
          <w:rPr>
            <w:rFonts w:ascii="Arial" w:cs="Arial" w:eastAsia="Arial" w:hAnsi="Arial"/>
            <w:sz w:val="18"/>
            <w:szCs w:val="18"/>
            <w:u w:val="single" w:color="auto"/>
            <w:color w:val="0000EE"/>
          </w:rPr>
          <w:t>Oxley Act of 2002 (18 U.S.C. 1350).</w:t>
        </w:r>
      </w:hyperlink>
    </w:p>
    <w:p>
      <w:pPr>
        <w:spacing w:after="0" w:line="170" w:lineRule="exact"/>
        <w:rPr>
          <w:rFonts w:ascii="Arial" w:cs="Arial" w:eastAsia="Arial" w:hAnsi="Arial"/>
          <w:sz w:val="18"/>
          <w:szCs w:val="18"/>
          <w:u w:val="single" w:color="auto"/>
          <w:color w:val="0000EE"/>
        </w:rPr>
      </w:pPr>
    </w:p>
    <w:p>
      <w:pPr>
        <w:ind w:left="1100" w:right="139" w:hanging="564"/>
        <w:spacing w:after="0" w:line="277" w:lineRule="auto"/>
        <w:tabs>
          <w:tab w:leader="none" w:pos="1100" w:val="left"/>
        </w:tabs>
        <w:numPr>
          <w:ilvl w:val="0"/>
          <w:numId w:val="33"/>
        </w:numPr>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Certificate of the Chief Financial Officer of UFP Industries, Inc., pursuant to Section 906 of the Sarbanes-</w:t>
        </w:r>
      </w:hyperlink>
      <w:hyperlink w:anchor="page41">
        <w:r>
          <w:rPr>
            <w:rFonts w:ascii="Arial" w:cs="Arial" w:eastAsia="Arial" w:hAnsi="Arial"/>
            <w:sz w:val="18"/>
            <w:szCs w:val="18"/>
            <w:u w:val="single" w:color="auto"/>
            <w:color w:val="0000EE"/>
          </w:rPr>
          <w:t>Oxley Act of 2002 (18 U.S.C. 1350).</w:t>
        </w:r>
      </w:hyperlink>
    </w:p>
    <w:p>
      <w:pPr>
        <w:spacing w:after="0" w:line="170" w:lineRule="exact"/>
        <w:rPr>
          <w:rFonts w:ascii="Arial" w:cs="Arial" w:eastAsia="Arial" w:hAnsi="Arial"/>
          <w:sz w:val="18"/>
          <w:szCs w:val="18"/>
          <w:color w:val="auto"/>
        </w:rPr>
      </w:pPr>
    </w:p>
    <w:p>
      <w:pPr>
        <w:ind w:left="540" w:right="1859" w:hanging="490"/>
        <w:spacing w:after="0" w:line="500"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Interactive Data File formatted in iXBRL (Inline eXtensible Business Reporting Language). (INS) iXBRL Instance Document.</w:t>
      </w:r>
    </w:p>
    <w:p>
      <w:pPr>
        <w:spacing w:after="0" w:line="1"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(SCH) iXBRL Schema Document.</w:t>
      </w:r>
    </w:p>
    <w:p>
      <w:pPr>
        <w:spacing w:after="0" w:line="22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(CAL) iXBRL Taxonomy Extension Calculation Linkbase Document.</w:t>
      </w:r>
    </w:p>
    <w:p>
      <w:pPr>
        <w:spacing w:after="0" w:line="225" w:lineRule="exact"/>
        <w:rPr>
          <w:rFonts w:ascii="Arial" w:cs="Arial" w:eastAsia="Arial" w:hAnsi="Arial"/>
          <w:sz w:val="18"/>
          <w:szCs w:val="18"/>
          <w:color w:val="auto"/>
        </w:rPr>
      </w:pPr>
    </w:p>
    <w:p>
      <w:pPr>
        <w:ind w:left="540" w:right="3339"/>
        <w:spacing w:after="0" w:line="623" w:lineRule="auto"/>
        <w:rPr>
          <w:rFonts w:ascii="Arial" w:cs="Arial" w:eastAsia="Arial" w:hAnsi="Arial"/>
          <w:sz w:val="18"/>
          <w:szCs w:val="18"/>
          <w:color w:val="auto"/>
        </w:rPr>
      </w:pPr>
      <w:r>
        <w:rPr>
          <w:rFonts w:ascii="Arial" w:cs="Arial" w:eastAsia="Arial" w:hAnsi="Arial"/>
          <w:sz w:val="16"/>
          <w:szCs w:val="16"/>
          <w:color w:val="auto"/>
        </w:rPr>
        <w:t>(LAB) iXBRL Taxonomy Extension Label Linkbase Document. (PRE) iXBRL Taxonomy Extension Presentation Linkbase Document.</w:t>
      </w:r>
    </w:p>
    <w:p>
      <w:pPr>
        <w:spacing w:after="0" w:line="341" w:lineRule="exact"/>
        <w:rPr>
          <w:rFonts w:ascii="Arial" w:cs="Arial" w:eastAsia="Arial" w:hAnsi="Arial"/>
          <w:sz w:val="18"/>
          <w:szCs w:val="18"/>
          <w:color w:val="auto"/>
        </w:rPr>
      </w:pPr>
    </w:p>
    <w:p>
      <w:pPr>
        <w:ind w:left="540" w:hanging="490"/>
        <w:spacing w:after="0"/>
        <w:tabs>
          <w:tab w:leader="none" w:pos="5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Cover Page Interactive Data File (the cover page XBRL tags are embedded in the Inline XBRL document).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00" w:lineRule="exact"/>
        <w:rPr>
          <w:rFonts w:ascii="Arial" w:cs="Arial" w:eastAsia="Arial" w:hAnsi="Arial"/>
          <w:sz w:val="17"/>
          <w:szCs w:val="17"/>
          <w:color w:val="auto"/>
        </w:rPr>
      </w:pPr>
    </w:p>
    <w:p>
      <w:pPr>
        <w:ind w:left="4420"/>
        <w:spacing w:after="0"/>
        <w:rPr>
          <w:rFonts w:ascii="Arial" w:cs="Arial" w:eastAsia="Arial" w:hAnsi="Arial"/>
          <w:sz w:val="17"/>
          <w:szCs w:val="17"/>
          <w:color w:val="auto"/>
        </w:rPr>
      </w:pPr>
      <w:r>
        <w:rPr>
          <w:rFonts w:ascii="Arial" w:cs="Arial" w:eastAsia="Arial" w:hAnsi="Arial"/>
          <w:sz w:val="18"/>
          <w:szCs w:val="18"/>
          <w:color w:val="auto"/>
        </w:rPr>
        <w:t>36</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ectPr>
          <w:pgSz w:w="11900" w:h="16838" w:orient="portrait"/>
          <w:cols w:equalWidth="0" w:num="1">
            <w:col w:w="9019"/>
          </w:cols>
          <w:pgMar w:left="1440" w:top="54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0"/>
        <w:spacing w:after="0"/>
        <w:rPr>
          <w:sz w:val="20"/>
          <w:szCs w:val="20"/>
          <w:color w:val="auto"/>
        </w:rPr>
      </w:pPr>
      <w:r>
        <w:rPr>
          <w:rFonts w:ascii="Arial" w:cs="Arial" w:eastAsia="Arial" w:hAnsi="Arial"/>
          <w:sz w:val="16"/>
          <w:szCs w:val="16"/>
          <w:color w:val="auto"/>
        </w:rPr>
        <w:t xml:space="preserve">Date: </w:t>
      </w:r>
      <w:r>
        <w:rPr>
          <w:rFonts w:ascii="Arial" w:cs="Arial" w:eastAsia="Arial" w:hAnsi="Arial"/>
          <w:sz w:val="16"/>
          <w:szCs w:val="16"/>
          <w:u w:val="single" w:color="auto"/>
          <w:color w:val="auto"/>
        </w:rPr>
        <w:t>August 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0"/>
        <w:spacing w:after="0"/>
        <w:rPr>
          <w:sz w:val="20"/>
          <w:szCs w:val="20"/>
          <w:color w:val="auto"/>
        </w:rPr>
      </w:pPr>
      <w:r>
        <w:rPr>
          <w:rFonts w:ascii="Arial" w:cs="Arial" w:eastAsia="Arial" w:hAnsi="Arial"/>
          <w:sz w:val="16"/>
          <w:szCs w:val="16"/>
          <w:color w:val="auto"/>
        </w:rPr>
        <w:t xml:space="preserve">Date: </w:t>
      </w:r>
      <w:r>
        <w:rPr>
          <w:rFonts w:ascii="Arial" w:cs="Arial" w:eastAsia="Arial" w:hAnsi="Arial"/>
          <w:sz w:val="16"/>
          <w:szCs w:val="16"/>
          <w:u w:val="single" w:color="auto"/>
          <w:color w:val="auto"/>
        </w:rPr>
        <w:t>August 4, 2021</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2639"/>
        <w:spacing w:after="0"/>
        <w:rPr>
          <w:sz w:val="20"/>
          <w:szCs w:val="20"/>
          <w:color w:val="auto"/>
        </w:rPr>
      </w:pPr>
      <w:r>
        <w:rPr>
          <w:rFonts w:ascii="Arial" w:cs="Arial" w:eastAsia="Arial" w:hAnsi="Arial"/>
          <w:sz w:val="17"/>
          <w:szCs w:val="17"/>
          <w:b w:val="1"/>
          <w:bCs w:val="1"/>
          <w:color w:val="auto"/>
        </w:rPr>
        <w:t>UFP INDUSTRIES, INC.</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14605</wp:posOffset>
            </wp:positionV>
            <wp:extent cx="266573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6573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Matthew J. Missad,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 and Principal Executive Officer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By: /s/ 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14605</wp:posOffset>
            </wp:positionV>
            <wp:extent cx="266573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6573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R. Cole,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ectPr>
          <w:pgSz w:w="11900" w:h="16838" w:orient="portrait"/>
          <w:cols w:equalWidth="0" w:num="2">
            <w:col w:w="3700" w:space="720"/>
            <w:col w:w="4599"/>
          </w:cols>
          <w:pgMar w:left="1440" w:top="544" w:right="1440" w:bottom="1440" w:gutter="0" w:footer="0" w:header="0"/>
          <w:type w:val="continuous"/>
        </w:sect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37" w:name="page38"/>
    <w:bookmarkEnd w:id="37"/>
    <w:p>
      <w:pPr>
        <w:jc w:val="right"/>
        <w:ind w:right="59"/>
        <w:spacing w:after="0"/>
        <w:rPr>
          <w:sz w:val="20"/>
          <w:szCs w:val="20"/>
          <w:color w:val="auto"/>
        </w:rPr>
      </w:pPr>
      <w:r>
        <w:rPr>
          <w:rFonts w:ascii="Arial" w:cs="Arial" w:eastAsia="Arial" w:hAnsi="Arial"/>
          <w:sz w:val="18"/>
          <w:szCs w:val="18"/>
          <w:b w:val="1"/>
          <w:bCs w:val="1"/>
          <w:color w:val="auto"/>
        </w:rPr>
        <w:t>Exhibit 31(a)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Matthew J. Missad, certify that:</w:t>
      </w:r>
    </w:p>
    <w:p>
      <w:pPr>
        <w:spacing w:after="0" w:line="225" w:lineRule="exact"/>
        <w:rPr>
          <w:sz w:val="20"/>
          <w:szCs w:val="20"/>
          <w:color w:val="auto"/>
        </w:rPr>
      </w:pPr>
    </w:p>
    <w:p>
      <w:pPr>
        <w:ind w:left="540" w:hanging="490"/>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report on Form 10-Q of UFP Industries, Inc.;</w:t>
      </w:r>
    </w:p>
    <w:p>
      <w:pPr>
        <w:spacing w:after="0" w:line="225" w:lineRule="exact"/>
        <w:rPr>
          <w:rFonts w:ascii="Arial" w:cs="Arial" w:eastAsia="Arial" w:hAnsi="Arial"/>
          <w:sz w:val="18"/>
          <w:szCs w:val="18"/>
          <w:color w:val="auto"/>
        </w:rPr>
      </w:pPr>
    </w:p>
    <w:p>
      <w:pPr>
        <w:jc w:val="both"/>
        <w:ind w:left="540" w:right="79" w:hanging="490"/>
        <w:spacing w:after="0" w:line="263"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540" w:right="79" w:hanging="490"/>
        <w:spacing w:after="0" w:line="263"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540" w:right="79" w:hanging="490"/>
        <w:spacing w:after="0" w:line="286" w:lineRule="auto"/>
        <w:tabs>
          <w:tab w:leader="none" w:pos="5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jc w:val="both"/>
        <w:ind w:left="860" w:right="79" w:hanging="324"/>
        <w:spacing w:after="0" w:line="259" w:lineRule="auto"/>
        <w:tabs>
          <w:tab w:leader="none" w:pos="8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860" w:right="79" w:hanging="324"/>
        <w:spacing w:after="0" w:line="259" w:lineRule="auto"/>
        <w:tabs>
          <w:tab w:leader="none" w:pos="8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860" w:right="79" w:hanging="324"/>
        <w:spacing w:after="0" w:line="263" w:lineRule="auto"/>
        <w:tabs>
          <w:tab w:leader="none" w:pos="8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860" w:right="79" w:hanging="324"/>
        <w:spacing w:after="0" w:line="259" w:lineRule="auto"/>
        <w:tabs>
          <w:tab w:leader="none" w:pos="8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540" w:right="79" w:hanging="490"/>
        <w:spacing w:after="0" w:line="263"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83" w:lineRule="exact"/>
        <w:rPr>
          <w:rFonts w:ascii="Arial" w:cs="Arial" w:eastAsia="Arial" w:hAnsi="Arial"/>
          <w:sz w:val="18"/>
          <w:szCs w:val="18"/>
          <w:color w:val="auto"/>
        </w:rPr>
      </w:pPr>
    </w:p>
    <w:p>
      <w:pPr>
        <w:jc w:val="both"/>
        <w:ind w:left="860" w:right="79" w:hanging="324"/>
        <w:spacing w:after="0" w:line="263" w:lineRule="auto"/>
        <w:tabs>
          <w:tab w:leader="none" w:pos="8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860" w:right="79" w:hanging="324"/>
        <w:spacing w:after="0" w:line="277" w:lineRule="auto"/>
        <w:tabs>
          <w:tab w:leader="none" w:pos="8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Date: August 4, 2021</w:t>
            </w:r>
          </w:p>
        </w:tc>
        <w:tc>
          <w:tcPr>
            <w:tcW w:w="4440" w:type="dxa"/>
            <w:vAlign w:val="bottom"/>
          </w:tcPr>
          <w:p>
            <w:pPr>
              <w:spacing w:after="0"/>
              <w:rPr>
                <w:sz w:val="20"/>
                <w:szCs w:val="20"/>
                <w:color w:val="auto"/>
              </w:rPr>
            </w:pPr>
            <w:r>
              <w:rPr>
                <w:rFonts w:ascii="Arial" w:cs="Arial" w:eastAsia="Arial" w:hAnsi="Arial"/>
                <w:sz w:val="18"/>
                <w:szCs w:val="18"/>
                <w:color w:val="auto"/>
              </w:rPr>
              <w:t>/s/ Matthew J. Missad</w:t>
            </w:r>
          </w:p>
        </w:tc>
      </w:tr>
      <w:tr>
        <w:trPr>
          <w:trHeight w:val="21"/>
        </w:trPr>
        <w:tc>
          <w:tcPr>
            <w:tcW w:w="46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5"/>
        </w:trPr>
        <w:tc>
          <w:tcPr>
            <w:tcW w:w="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Matthew J. Missad,</w:t>
            </w:r>
          </w:p>
        </w:tc>
      </w:tr>
      <w:tr>
        <w:trPr>
          <w:trHeight w:val="230"/>
        </w:trPr>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Chief Executive Officer and Principal Executive Officer</w:t>
            </w:r>
          </w:p>
        </w:tc>
      </w:tr>
      <w:tr>
        <w:trPr>
          <w:trHeight w:val="776"/>
        </w:trPr>
        <w:tc>
          <w:tcPr>
            <w:tcW w:w="4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38" w:name="page39"/>
    <w:bookmarkEnd w:id="38"/>
    <w:p>
      <w:pPr>
        <w:jc w:val="right"/>
        <w:ind w:right="59"/>
        <w:spacing w:after="0"/>
        <w:rPr>
          <w:sz w:val="20"/>
          <w:szCs w:val="20"/>
          <w:color w:val="auto"/>
        </w:rPr>
      </w:pPr>
      <w:r>
        <w:rPr>
          <w:rFonts w:ascii="Arial" w:cs="Arial" w:eastAsia="Arial" w:hAnsi="Arial"/>
          <w:sz w:val="18"/>
          <w:szCs w:val="18"/>
          <w:b w:val="1"/>
          <w:bCs w:val="1"/>
          <w:color w:val="auto"/>
        </w:rPr>
        <w:t>Exhibit 31(b)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Michael R. Cole, certify that:</w:t>
      </w:r>
    </w:p>
    <w:p>
      <w:pPr>
        <w:spacing w:after="0" w:line="225" w:lineRule="exact"/>
        <w:rPr>
          <w:sz w:val="20"/>
          <w:szCs w:val="20"/>
          <w:color w:val="auto"/>
        </w:rPr>
      </w:pPr>
    </w:p>
    <w:p>
      <w:pPr>
        <w:ind w:left="540" w:hanging="490"/>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report on Form 10-Q of UFP Industries, Inc.;</w:t>
      </w:r>
    </w:p>
    <w:p>
      <w:pPr>
        <w:spacing w:after="0" w:line="225" w:lineRule="exact"/>
        <w:rPr>
          <w:rFonts w:ascii="Arial" w:cs="Arial" w:eastAsia="Arial" w:hAnsi="Arial"/>
          <w:sz w:val="18"/>
          <w:szCs w:val="18"/>
          <w:color w:val="auto"/>
        </w:rPr>
      </w:pPr>
    </w:p>
    <w:p>
      <w:pPr>
        <w:jc w:val="both"/>
        <w:ind w:left="540" w:right="79" w:hanging="490"/>
        <w:spacing w:after="0" w:line="263"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540" w:right="79" w:hanging="490"/>
        <w:spacing w:after="0" w:line="263"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540" w:right="79" w:hanging="490"/>
        <w:spacing w:after="0" w:line="286" w:lineRule="auto"/>
        <w:tabs>
          <w:tab w:leader="none" w:pos="5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jc w:val="both"/>
        <w:ind w:left="860" w:right="79" w:hanging="324"/>
        <w:spacing w:after="0" w:line="259" w:lineRule="auto"/>
        <w:tabs>
          <w:tab w:leader="none" w:pos="8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860" w:right="79" w:hanging="324"/>
        <w:spacing w:after="0" w:line="259" w:lineRule="auto"/>
        <w:tabs>
          <w:tab w:leader="none" w:pos="8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860" w:right="79" w:hanging="324"/>
        <w:spacing w:after="0" w:line="263" w:lineRule="auto"/>
        <w:tabs>
          <w:tab w:leader="none" w:pos="8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860" w:right="79" w:hanging="324"/>
        <w:spacing w:after="0" w:line="259" w:lineRule="auto"/>
        <w:tabs>
          <w:tab w:leader="none" w:pos="8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540" w:right="79" w:hanging="490"/>
        <w:spacing w:after="0" w:line="263"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83" w:lineRule="exact"/>
        <w:rPr>
          <w:rFonts w:ascii="Arial" w:cs="Arial" w:eastAsia="Arial" w:hAnsi="Arial"/>
          <w:sz w:val="18"/>
          <w:szCs w:val="18"/>
          <w:color w:val="auto"/>
        </w:rPr>
      </w:pPr>
    </w:p>
    <w:p>
      <w:pPr>
        <w:jc w:val="both"/>
        <w:ind w:left="860" w:right="79" w:hanging="324"/>
        <w:spacing w:after="0" w:line="263" w:lineRule="auto"/>
        <w:tabs>
          <w:tab w:leader="none" w:pos="8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860" w:right="79" w:hanging="324"/>
        <w:spacing w:after="0" w:line="277" w:lineRule="auto"/>
        <w:tabs>
          <w:tab w:leader="none" w:pos="8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Date: August 4, 2021</w:t>
            </w:r>
          </w:p>
        </w:tc>
        <w:tc>
          <w:tcPr>
            <w:tcW w:w="4440" w:type="dxa"/>
            <w:vAlign w:val="bottom"/>
          </w:tcPr>
          <w:p>
            <w:pPr>
              <w:spacing w:after="0"/>
              <w:rPr>
                <w:sz w:val="20"/>
                <w:szCs w:val="20"/>
                <w:color w:val="auto"/>
              </w:rPr>
            </w:pPr>
            <w:r>
              <w:rPr>
                <w:rFonts w:ascii="Arial" w:cs="Arial" w:eastAsia="Arial" w:hAnsi="Arial"/>
                <w:sz w:val="18"/>
                <w:szCs w:val="18"/>
                <w:color w:val="auto"/>
              </w:rPr>
              <w:t>/s/ Michael R. Cole</w:t>
            </w:r>
          </w:p>
        </w:tc>
      </w:tr>
      <w:tr>
        <w:trPr>
          <w:trHeight w:val="21"/>
        </w:trPr>
        <w:tc>
          <w:tcPr>
            <w:tcW w:w="46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5"/>
        </w:trPr>
        <w:tc>
          <w:tcPr>
            <w:tcW w:w="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Michael R. Cole</w:t>
            </w:r>
          </w:p>
        </w:tc>
      </w:tr>
      <w:tr>
        <w:trPr>
          <w:trHeight w:val="230"/>
        </w:trPr>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Chief Financial Officer and Principal Accounting Officer</w:t>
            </w:r>
          </w:p>
        </w:tc>
      </w:tr>
      <w:tr>
        <w:trPr>
          <w:trHeight w:val="777"/>
        </w:trPr>
        <w:tc>
          <w:tcPr>
            <w:tcW w:w="4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39" w:name="page40"/>
    <w:bookmarkEnd w:id="39"/>
    <w:p>
      <w:pPr>
        <w:jc w:val="right"/>
        <w:ind w:right="59"/>
        <w:spacing w:after="0"/>
        <w:rPr>
          <w:sz w:val="20"/>
          <w:szCs w:val="20"/>
          <w:color w:val="auto"/>
        </w:rPr>
      </w:pPr>
      <w:r>
        <w:rPr>
          <w:rFonts w:ascii="Arial" w:cs="Arial" w:eastAsia="Arial" w:hAnsi="Arial"/>
          <w:sz w:val="18"/>
          <w:szCs w:val="18"/>
          <w:b w:val="1"/>
          <w:bCs w:val="1"/>
          <w:color w:val="auto"/>
        </w:rPr>
        <w:t>Exhibit 32(a)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UFP INDUSTRIES, INC.</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225"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I, Matthew J. Missad, Chief Executive Officer of UFP Industries, Inc., certify, to the best of my knowledge and belief, pursuant to Section 906 of the Sarbanes-Oxley Act of 2002 (18 U.S.C. 1350) that:</w:t>
      </w:r>
    </w:p>
    <w:p>
      <w:pPr>
        <w:spacing w:after="0" w:line="170" w:lineRule="exact"/>
        <w:rPr>
          <w:sz w:val="20"/>
          <w:szCs w:val="20"/>
          <w:color w:val="auto"/>
        </w:rPr>
      </w:pPr>
    </w:p>
    <w:p>
      <w:pPr>
        <w:jc w:val="both"/>
        <w:ind w:left="620" w:right="79" w:hanging="570"/>
        <w:spacing w:after="0" w:line="263" w:lineRule="auto"/>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June 26, 2021, which this statement accompanies, fully complies with requirements of Section 13(a) or 15(d) of the Securities Exchange Act of 1934; and</w:t>
      </w:r>
    </w:p>
    <w:p>
      <w:pPr>
        <w:spacing w:after="0" w:line="183" w:lineRule="exact"/>
        <w:rPr>
          <w:rFonts w:ascii="Arial" w:cs="Arial" w:eastAsia="Arial" w:hAnsi="Arial"/>
          <w:sz w:val="18"/>
          <w:szCs w:val="18"/>
          <w:color w:val="auto"/>
        </w:rPr>
      </w:pPr>
    </w:p>
    <w:p>
      <w:pPr>
        <w:ind w:left="620" w:right="79" w:hanging="570"/>
        <w:spacing w:after="0" w:line="308" w:lineRule="auto"/>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information contained in this quarterly report on Form 10-Q for the quarterly period ended June 26, 2021, fairly presents, in all material respects, the financial condition and results of operations of UFP Industries, Inc.</w:t>
      </w:r>
    </w:p>
    <w:p>
      <w:pPr>
        <w:spacing w:after="0" w:line="16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UFP INDUSTRIES, INC.</w:t>
            </w:r>
          </w:p>
        </w:tc>
      </w:tr>
      <w:tr>
        <w:trPr>
          <w:trHeight w:val="392"/>
        </w:trPr>
        <w:tc>
          <w:tcPr>
            <w:tcW w:w="4460" w:type="dxa"/>
            <w:vAlign w:val="bottom"/>
            <w:gridSpan w:val="3"/>
          </w:tcPr>
          <w:p>
            <w:pPr>
              <w:spacing w:after="0"/>
              <w:rPr>
                <w:sz w:val="20"/>
                <w:szCs w:val="20"/>
                <w:color w:val="auto"/>
              </w:rPr>
            </w:pPr>
            <w:r>
              <w:rPr>
                <w:rFonts w:ascii="Arial" w:cs="Arial" w:eastAsia="Arial" w:hAnsi="Arial"/>
                <w:sz w:val="18"/>
                <w:szCs w:val="18"/>
                <w:color w:val="auto"/>
              </w:rPr>
              <w:t>Date: August 4, 2021</w:t>
            </w:r>
          </w:p>
        </w:tc>
        <w:tc>
          <w:tcPr>
            <w:tcW w:w="4440" w:type="dxa"/>
            <w:vAlign w:val="bottom"/>
          </w:tcPr>
          <w:p>
            <w:pPr>
              <w:spacing w:after="0"/>
              <w:rPr>
                <w:sz w:val="20"/>
                <w:szCs w:val="20"/>
                <w:color w:val="auto"/>
              </w:rPr>
            </w:pPr>
            <w:r>
              <w:rPr>
                <w:rFonts w:ascii="Arial" w:cs="Arial" w:eastAsia="Arial" w:hAnsi="Arial"/>
                <w:sz w:val="18"/>
                <w:szCs w:val="18"/>
                <w:color w:val="auto"/>
              </w:rPr>
              <w:t>By:  /s/ Matthew J. Missad</w:t>
            </w:r>
          </w:p>
        </w:tc>
      </w:tr>
      <w:tr>
        <w:trPr>
          <w:trHeight w:val="20"/>
        </w:trPr>
        <w:tc>
          <w:tcPr>
            <w:tcW w:w="44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5"/>
        </w:trPr>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Matthew J. Missad,</w:t>
            </w:r>
          </w:p>
        </w:tc>
      </w:tr>
      <w:tr>
        <w:trPr>
          <w:trHeight w:val="230"/>
        </w:trPr>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Chief Executive Officer and Principal Executive Officer</w:t>
            </w:r>
          </w:p>
        </w:tc>
      </w:tr>
    </w:tbl>
    <w:p>
      <w:pPr>
        <w:spacing w:after="0" w:line="20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UFP Industries, Inc. and will be retained by UFP Industries,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633095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0" w:name="page41"/>
    <w:bookmarkEnd w:id="40"/>
    <w:p>
      <w:pPr>
        <w:jc w:val="right"/>
        <w:ind w:right="59"/>
        <w:spacing w:after="0"/>
        <w:rPr>
          <w:sz w:val="20"/>
          <w:szCs w:val="20"/>
          <w:color w:val="auto"/>
        </w:rPr>
      </w:pPr>
      <w:r>
        <w:rPr>
          <w:rFonts w:ascii="Arial" w:cs="Arial" w:eastAsia="Arial" w:hAnsi="Arial"/>
          <w:sz w:val="18"/>
          <w:szCs w:val="18"/>
          <w:b w:val="1"/>
          <w:bCs w:val="1"/>
          <w:color w:val="auto"/>
        </w:rPr>
        <w:t>Exhibit 32(b)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FINANCIAL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UFP INDUSTRIES, INC.</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225"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I, Michael R. Cole, Chief Financial Officer of UFP Industries, Inc., certify, to the best of my knowledge and belief, pursuant to Section 906 of the Sarbanes-Oxley Act of 2002 (18 U.S.C. 1350) that:</w:t>
      </w:r>
    </w:p>
    <w:p>
      <w:pPr>
        <w:spacing w:after="0" w:line="170" w:lineRule="exact"/>
        <w:rPr>
          <w:sz w:val="20"/>
          <w:szCs w:val="20"/>
          <w:color w:val="auto"/>
        </w:rPr>
      </w:pPr>
    </w:p>
    <w:p>
      <w:pPr>
        <w:jc w:val="both"/>
        <w:ind w:left="620" w:right="79" w:hanging="570"/>
        <w:spacing w:after="0" w:line="263" w:lineRule="auto"/>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June 26, 2021, which this statement accompanies, fully complies with requirements of Section 13(a) or 15(d) of the Securities Exchange Act of 1934; and</w:t>
      </w:r>
    </w:p>
    <w:p>
      <w:pPr>
        <w:spacing w:after="0" w:line="183" w:lineRule="exact"/>
        <w:rPr>
          <w:rFonts w:ascii="Arial" w:cs="Arial" w:eastAsia="Arial" w:hAnsi="Arial"/>
          <w:sz w:val="18"/>
          <w:szCs w:val="18"/>
          <w:color w:val="auto"/>
        </w:rPr>
      </w:pPr>
    </w:p>
    <w:p>
      <w:pPr>
        <w:ind w:left="620" w:right="79" w:hanging="570"/>
        <w:spacing w:after="0" w:line="308" w:lineRule="auto"/>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information contained in this quarterly report on Form 10-Q for the quarterly period ended June 26, 2021, fairly presents, in all material respects, the financial condition and results of operations of UFP Industries, Inc.</w:t>
      </w:r>
    </w:p>
    <w:p>
      <w:pPr>
        <w:spacing w:after="0" w:line="16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UFP INDUSTRIES, INC.</w:t>
            </w:r>
          </w:p>
        </w:tc>
      </w:tr>
      <w:tr>
        <w:trPr>
          <w:trHeight w:val="392"/>
        </w:trPr>
        <w:tc>
          <w:tcPr>
            <w:tcW w:w="4460" w:type="dxa"/>
            <w:vAlign w:val="bottom"/>
            <w:gridSpan w:val="3"/>
          </w:tcPr>
          <w:p>
            <w:pPr>
              <w:spacing w:after="0"/>
              <w:rPr>
                <w:sz w:val="20"/>
                <w:szCs w:val="20"/>
                <w:color w:val="auto"/>
              </w:rPr>
            </w:pPr>
            <w:r>
              <w:rPr>
                <w:rFonts w:ascii="Arial" w:cs="Arial" w:eastAsia="Arial" w:hAnsi="Arial"/>
                <w:sz w:val="18"/>
                <w:szCs w:val="18"/>
                <w:color w:val="auto"/>
              </w:rPr>
              <w:t>Date: August 4, 2021</w:t>
            </w:r>
          </w:p>
        </w:tc>
        <w:tc>
          <w:tcPr>
            <w:tcW w:w="4440" w:type="dxa"/>
            <w:vAlign w:val="bottom"/>
          </w:tcPr>
          <w:p>
            <w:pPr>
              <w:spacing w:after="0"/>
              <w:rPr>
                <w:sz w:val="20"/>
                <w:szCs w:val="20"/>
                <w:color w:val="auto"/>
              </w:rPr>
            </w:pPr>
            <w:r>
              <w:rPr>
                <w:rFonts w:ascii="Arial" w:cs="Arial" w:eastAsia="Arial" w:hAnsi="Arial"/>
                <w:sz w:val="18"/>
                <w:szCs w:val="18"/>
                <w:color w:val="auto"/>
              </w:rPr>
              <w:t>By:  /s/ Michael R. Cole</w:t>
            </w:r>
          </w:p>
        </w:tc>
      </w:tr>
      <w:tr>
        <w:trPr>
          <w:trHeight w:val="20"/>
        </w:trPr>
        <w:tc>
          <w:tcPr>
            <w:tcW w:w="44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5"/>
        </w:trPr>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Michael R. Cole,</w:t>
            </w:r>
          </w:p>
        </w:tc>
      </w:tr>
      <w:tr>
        <w:trPr>
          <w:trHeight w:val="230"/>
        </w:trPr>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Chief Financial Officer and Principal Financial Officer</w:t>
            </w:r>
          </w:p>
        </w:tc>
      </w:tr>
    </w:tbl>
    <w:p>
      <w:pPr>
        <w:spacing w:after="0" w:line="20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UFP Industries, Inc. and will be retained by UFP Industries,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633095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upperLetter"/>
      <w:start w:val="1"/>
    </w:lvl>
  </w:abstractNum>
  <w:abstractNum w:abstractNumId="3">
    <w:nsid w:val="333AB105"/>
    <w:multiLevelType w:val="hybridMultilevel"/>
    <w:lvl w:ilvl="0">
      <w:lvlJc w:val="left"/>
      <w:lvlText w:val="%1."/>
      <w:numFmt w:val="upperLetter"/>
      <w:start w:val="2"/>
    </w:lvl>
  </w:abstractNum>
  <w:abstractNum w:abstractNumId="4">
    <w:nsid w:val="721DA317"/>
    <w:multiLevelType w:val="hybridMultilevel"/>
    <w:lvl w:ilvl="0">
      <w:lvlJc w:val="left"/>
      <w:lvlText w:val="%1."/>
      <w:numFmt w:val="upperLetter"/>
      <w:start w:val="3"/>
    </w:lvl>
  </w:abstractNum>
  <w:abstractNum w:abstractNumId="5">
    <w:nsid w:val="2443A858"/>
    <w:multiLevelType w:val="hybridMultilevel"/>
    <w:lvl w:ilvl="0">
      <w:lvlJc w:val="left"/>
      <w:lvlText w:val="%1."/>
      <w:numFmt w:val="upperLetter"/>
      <w:start w:val="4"/>
    </w:lvl>
  </w:abstractNum>
  <w:abstractNum w:abstractNumId="6">
    <w:nsid w:val="2D1D5AE9"/>
    <w:multiLevelType w:val="hybridMultilevel"/>
    <w:lvl w:ilvl="0">
      <w:lvlJc w:val="left"/>
      <w:lvlText w:val="%1."/>
      <w:numFmt w:val="upperLetter"/>
      <w:start w:val="5"/>
    </w:lvl>
  </w:abstractNum>
  <w:abstractNum w:abstractNumId="7">
    <w:nsid w:val="6763845E"/>
    <w:multiLevelType w:val="hybridMultilevel"/>
    <w:lvl w:ilvl="0">
      <w:lvlJc w:val="left"/>
      <w:lvlText w:val="%1."/>
      <w:numFmt w:val="upperLetter"/>
      <w:start w:val="6"/>
    </w:lvl>
  </w:abstractNum>
  <w:abstractNum w:abstractNumId="8">
    <w:nsid w:val="75A2A8D4"/>
    <w:multiLevelType w:val="hybridMultilevel"/>
    <w:lvl w:ilvl="0">
      <w:lvlJc w:val="left"/>
      <w:lvlText w:val="%1."/>
      <w:numFmt w:val="upperLetter"/>
      <w:start w:val="7"/>
    </w:lvl>
  </w:abstractNum>
  <w:abstractNum w:abstractNumId="9">
    <w:nsid w:val="8EDBDAB"/>
    <w:multiLevelType w:val="hybridMultilevel"/>
    <w:lvl w:ilvl="0">
      <w:lvlJc w:val="left"/>
      <w:lvlText w:val="%1."/>
      <w:numFmt w:val="upperLetter"/>
      <w:start w:val="8"/>
    </w:lvl>
  </w:abstractNum>
  <w:abstractNum w:abstractNumId="10">
    <w:nsid w:val="79838CB2"/>
    <w:multiLevelType w:val="hybridMultilevel"/>
    <w:lvl w:ilvl="0">
      <w:lvlJc w:val="left"/>
      <w:lvlText w:val="%1."/>
      <w:numFmt w:val="upperLetter"/>
      <w:start w:val="9"/>
    </w:lvl>
  </w:abstractNum>
  <w:abstractNum w:abstractNumId="11">
    <w:nsid w:val="4353D0CD"/>
    <w:multiLevelType w:val="hybridMultilevel"/>
    <w:lvl w:ilvl="0">
      <w:lvlJc w:val="left"/>
      <w:lvlText w:val="%1."/>
      <w:numFmt w:val="upperLetter"/>
      <w:start w:val="10"/>
    </w:lvl>
  </w:abstractNum>
  <w:abstractNum w:abstractNumId="12">
    <w:nsid w:val="B03E0C6"/>
    <w:multiLevelType w:val="hybridMultilevel"/>
    <w:lvl w:ilvl="0">
      <w:lvlJc w:val="left"/>
      <w:lvlText w:val="%1."/>
      <w:numFmt w:val="upperLetter"/>
      <w:start w:val="1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lvl w:ilvl="1">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1)"/>
      <w:numFmt w:val="lowerLetter"/>
      <w:start w:val="1"/>
    </w:lvl>
  </w:abstractNum>
  <w:abstractNum w:abstractNumId="29">
    <w:nsid w:val="419AC241"/>
    <w:multiLevelType w:val="hybridMultilevel"/>
    <w:lvl w:ilvl="0">
      <w:lvlJc w:val="left"/>
      <w:lvlText w:val="(%1)"/>
      <w:numFmt w:val="lowerLetter"/>
      <w:start w:val="1"/>
    </w:lvl>
  </w:abstractNum>
  <w:abstractNum w:abstractNumId="30">
    <w:nsid w:val="5577F8E1"/>
    <w:multiLevelType w:val="hybridMultilevel"/>
    <w:lvl w:ilvl="0">
      <w:lvlJc w:val="left"/>
      <w:lvlText w:val="(%1)"/>
      <w:numFmt w:val="lowerLetter"/>
      <w:start w:val="1"/>
    </w:lvl>
  </w:abstractNum>
  <w:abstractNum w:abstractNumId="31">
    <w:nsid w:val="440BADFC"/>
    <w:multiLevelType w:val="hybridMultilevel"/>
    <w:lvl w:ilvl="0">
      <w:lvlJc w:val="left"/>
      <w:lvlText w:val="%1"/>
      <w:numFmt w:val="decimal"/>
      <w:start w:val="31"/>
    </w:lvl>
    <w:lvl w:ilvl="1">
      <w:lvlJc w:val="left"/>
      <w:lvlText w:val="(%2)"/>
      <w:numFmt w:val="lowerLetter"/>
      <w:start w:val="1"/>
    </w:lvl>
  </w:abstractNum>
  <w:abstractNum w:abstractNumId="32">
    <w:nsid w:val="5072367"/>
    <w:multiLevelType w:val="hybridMultilevel"/>
    <w:lvl w:ilvl="0">
      <w:lvlJc w:val="left"/>
      <w:lvlText w:val="(%1)"/>
      <w:numFmt w:val="lowerLetter"/>
      <w:start w:val="1"/>
    </w:lvl>
  </w:abstractNum>
  <w:abstractNum w:abstractNumId="33">
    <w:nsid w:val="3804823E"/>
    <w:multiLevelType w:val="hybridMultilevel"/>
    <w:lvl w:ilvl="0">
      <w:lvlJc w:val="left"/>
      <w:lvlText w:val="%1"/>
      <w:numFmt w:val="decimal"/>
      <w:start w:val="101"/>
    </w:lvl>
  </w:abstractNum>
  <w:abstractNum w:abstractNumId="34">
    <w:nsid w:val="77465F01"/>
    <w:multiLevelType w:val="hybridMultilevel"/>
    <w:lvl w:ilvl="0">
      <w:lvlJc w:val="left"/>
      <w:lvlText w:val="%1"/>
      <w:numFmt w:val="decimal"/>
      <w:start w:val="104"/>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2021-08-04T16:58:31Z</dcterms:created>
  <dcterms:modified xsi:type="dcterms:W3CDTF">2021-08-04T16:58:31Z</dcterms:modified>
</cp:coreProperties>
</file>