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January 6, 2009 — Registration No. 333-__________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488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 cy="48831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140335</wp:posOffset>
            </wp:positionV>
            <wp:extent cx="42545"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71170"/>
                    </a:xfrm>
                    <a:prstGeom prst="rect">
                      <a:avLst/>
                    </a:prstGeom>
                    <a:noFill/>
                  </pic:spPr>
                </pic:pic>
              </a:graphicData>
            </a:graphic>
          </wp:anchor>
        </w:drawing>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tcBorders>
          </w:tcPr>
          <w:p>
            <w:pPr>
              <w:spacing w:after="0"/>
              <w:rPr>
                <w:sz w:val="21"/>
                <w:szCs w:val="21"/>
                <w:color w:val="auto"/>
              </w:rPr>
            </w:pPr>
          </w:p>
        </w:tc>
        <w:tc>
          <w:tcPr>
            <w:tcW w:w="5840" w:type="dxa"/>
            <w:vAlign w:val="bottom"/>
            <w:tcBorders>
              <w:top w:val="single" w:sz="8" w:color="2C2C2C"/>
              <w:bottom w:val="single" w:sz="8" w:color="2C2C2C"/>
            </w:tcBorders>
          </w:tcPr>
          <w:p>
            <w:pPr>
              <w:jc w:val="center"/>
              <w:ind w:right="52"/>
              <w:spacing w:after="0"/>
              <w:rPr>
                <w:sz w:val="20"/>
                <w:szCs w:val="20"/>
                <w:color w:val="auto"/>
              </w:rPr>
            </w:pPr>
            <w:r>
              <w:rPr>
                <w:rFonts w:ascii="Arial" w:cs="Arial" w:eastAsia="Arial" w:hAnsi="Arial"/>
                <w:sz w:val="18"/>
                <w:szCs w:val="18"/>
                <w:b w:val="1"/>
                <w:bCs w:val="1"/>
                <w:color w:val="auto"/>
                <w:w w:val="89"/>
              </w:rPr>
              <w:t>Michigan</w:t>
            </w:r>
          </w:p>
        </w:tc>
        <w:tc>
          <w:tcPr>
            <w:tcW w:w="5540" w:type="dxa"/>
            <w:vAlign w:val="bottom"/>
            <w:tcBorders>
              <w:top w:val="single" w:sz="8" w:color="2C2C2C"/>
              <w:bottom w:val="single" w:sz="8" w:color="2C2C2C"/>
            </w:tcBorders>
          </w:tcPr>
          <w:p>
            <w:pPr>
              <w:jc w:val="center"/>
              <w:ind w:right="52"/>
              <w:spacing w:after="0"/>
              <w:rPr>
                <w:sz w:val="20"/>
                <w:szCs w:val="20"/>
                <w:color w:val="auto"/>
              </w:rPr>
            </w:pPr>
            <w:r>
              <w:rPr>
                <w:rFonts w:ascii="Arial" w:cs="Arial" w:eastAsia="Arial" w:hAnsi="Arial"/>
                <w:sz w:val="18"/>
                <w:szCs w:val="18"/>
                <w:b w:val="1"/>
                <w:bCs w:val="1"/>
                <w:color w:val="auto"/>
                <w:w w:val="87"/>
              </w:rPr>
              <w:t>38-1465835</w:t>
            </w:r>
          </w:p>
        </w:tc>
        <w:tc>
          <w:tcPr>
            <w:tcW w:w="20" w:type="dxa"/>
            <w:vAlign w:val="bottom"/>
            <w:tcBorders>
              <w:top w:val="single" w:sz="8" w:color="808080"/>
            </w:tcBorders>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5840" w:type="dxa"/>
            <w:vAlign w:val="bottom"/>
          </w:tcPr>
          <w:p>
            <w:pPr>
              <w:jc w:val="center"/>
              <w:ind w:right="52"/>
              <w:spacing w:after="0"/>
              <w:rPr>
                <w:sz w:val="20"/>
                <w:szCs w:val="20"/>
                <w:color w:val="auto"/>
              </w:rPr>
            </w:pPr>
            <w:r>
              <w:rPr>
                <w:rFonts w:ascii="Arial" w:cs="Arial" w:eastAsia="Arial" w:hAnsi="Arial"/>
                <w:sz w:val="18"/>
                <w:szCs w:val="18"/>
                <w:i w:val="1"/>
                <w:iCs w:val="1"/>
                <w:color w:val="auto"/>
                <w:w w:val="91"/>
              </w:rPr>
              <w:t>(State or other Jurisdiction of</w:t>
            </w:r>
          </w:p>
        </w:tc>
        <w:tc>
          <w:tcPr>
            <w:tcW w:w="5540" w:type="dxa"/>
            <w:vAlign w:val="bottom"/>
          </w:tcPr>
          <w:p>
            <w:pPr>
              <w:jc w:val="center"/>
              <w:ind w:right="52"/>
              <w:spacing w:after="0"/>
              <w:rPr>
                <w:sz w:val="20"/>
                <w:szCs w:val="20"/>
                <w:color w:val="auto"/>
              </w:rPr>
            </w:pPr>
            <w:r>
              <w:rPr>
                <w:rFonts w:ascii="Arial" w:cs="Arial" w:eastAsia="Arial" w:hAnsi="Arial"/>
                <w:sz w:val="18"/>
                <w:szCs w:val="18"/>
                <w:i w:val="1"/>
                <w:iCs w:val="1"/>
                <w:color w:val="auto"/>
                <w:w w:val="87"/>
              </w:rPr>
              <w:t>(I.R.S. Employer</w:t>
            </w:r>
          </w:p>
        </w:tc>
        <w:tc>
          <w:tcPr>
            <w:tcW w:w="20" w:type="dxa"/>
            <w:vAlign w:val="bottom"/>
          </w:tcPr>
          <w:p>
            <w:pPr>
              <w:spacing w:after="0"/>
              <w:rPr>
                <w:sz w:val="18"/>
                <w:szCs w:val="18"/>
                <w:color w:val="auto"/>
              </w:rPr>
            </w:pPr>
          </w:p>
        </w:tc>
      </w:tr>
      <w:tr>
        <w:trPr>
          <w:trHeight w:val="231"/>
        </w:trPr>
        <w:tc>
          <w:tcPr>
            <w:tcW w:w="20" w:type="dxa"/>
            <w:vAlign w:val="bottom"/>
            <w:tcBorders>
              <w:bottom w:val="single" w:sz="8" w:color="2C2C2C"/>
            </w:tcBorders>
          </w:tcPr>
          <w:p>
            <w:pPr>
              <w:spacing w:after="0"/>
              <w:rPr>
                <w:sz w:val="20"/>
                <w:szCs w:val="20"/>
                <w:color w:val="auto"/>
              </w:rPr>
            </w:pPr>
          </w:p>
        </w:tc>
        <w:tc>
          <w:tcPr>
            <w:tcW w:w="58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i w:val="1"/>
                <w:iCs w:val="1"/>
                <w:color w:val="auto"/>
                <w:w w:val="92"/>
              </w:rPr>
              <w:t>Incorporation or Organization)</w:t>
            </w:r>
          </w:p>
        </w:tc>
        <w:tc>
          <w:tcPr>
            <w:tcW w:w="5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8"/>
                <w:szCs w:val="18"/>
                <w:i w:val="1"/>
                <w:iCs w:val="1"/>
                <w:color w:val="auto"/>
                <w:w w:val="91"/>
              </w:rPr>
              <w:t>Identification Number)</w:t>
            </w:r>
          </w:p>
        </w:tc>
      </w:tr>
    </w:tbl>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2801 East Beltline, N.E., Grand Rapids, Michigan 49525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Shawnlee Construction LLC 401(k)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(full title of plan)</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Missad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2801 East Beltline, N.E., Grand Rapids, Michigan 49525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(616) 364-6161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i w:val="1"/>
          <w:iCs w:val="1"/>
          <w:color w:val="auto"/>
        </w:rPr>
        <w:t>(Name, address, including zip code, and telephone number,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including area code, of agent for service)</w:t>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G. Wooldridge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Varnum, Riddering, Schmidt &amp; Howlett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Bridge St., N.W., P.O. Box 352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Rapids, Michigan 49501-0352</w:t>
      </w:r>
    </w:p>
    <w:p>
      <w:pPr>
        <w:spacing w:after="0" w:line="9" w:lineRule="exact"/>
        <w:rPr>
          <w:sz w:val="24"/>
          <w:szCs w:val="24"/>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336-6000</w:t>
      </w:r>
    </w:p>
    <w:p>
      <w:pPr>
        <w:spacing w:after="0" w:line="303" w:lineRule="exact"/>
        <w:rPr>
          <w:rFonts w:ascii="Arial" w:cs="Arial" w:eastAsia="Arial" w:hAnsi="Arial"/>
          <w:sz w:val="16"/>
          <w:szCs w:val="16"/>
          <w:b w:val="1"/>
          <w:bCs w:val="1"/>
          <w:color w:val="auto"/>
        </w:rPr>
      </w:pPr>
    </w:p>
    <w:p>
      <w:pPr>
        <w:ind w:left="39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800735</wp:posOffset>
            </wp:positionH>
            <wp:positionV relativeFrom="paragraph">
              <wp:posOffset>81280</wp:posOffset>
            </wp:positionV>
            <wp:extent cx="555244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2440" cy="29845"/>
                    </a:xfrm>
                    <a:prstGeom prst="rect">
                      <a:avLst/>
                    </a:prstGeom>
                    <a:noFill/>
                  </pic:spPr>
                </pic:pic>
              </a:graphicData>
            </a:graphic>
          </wp:anchor>
        </w:drawing>
      </w:r>
    </w:p>
    <w:p>
      <w:pPr>
        <w:spacing w:after="0" w:line="246"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156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Amount of</w:t>
            </w:r>
          </w:p>
        </w:tc>
      </w:tr>
      <w:tr>
        <w:trPr>
          <w:trHeight w:val="216"/>
        </w:trPr>
        <w:tc>
          <w:tcPr>
            <w:tcW w:w="2020" w:type="dxa"/>
            <w:vAlign w:val="bottom"/>
          </w:tcPr>
          <w:p>
            <w:pPr>
              <w:jc w:val="right"/>
              <w:ind w:right="272"/>
              <w:spacing w:after="0"/>
              <w:rPr>
                <w:sz w:val="20"/>
                <w:szCs w:val="20"/>
                <w:color w:val="auto"/>
              </w:rPr>
            </w:pPr>
            <w:r>
              <w:rPr>
                <w:rFonts w:ascii="Arial" w:cs="Arial" w:eastAsia="Arial" w:hAnsi="Arial"/>
                <w:sz w:val="18"/>
                <w:szCs w:val="18"/>
                <w:b w:val="1"/>
                <w:bCs w:val="1"/>
                <w:color w:val="auto"/>
              </w:rPr>
              <w:t>Title of Securities</w:t>
            </w:r>
          </w:p>
        </w:tc>
        <w:tc>
          <w:tcPr>
            <w:tcW w:w="1740" w:type="dxa"/>
            <w:vAlign w:val="bottom"/>
          </w:tcPr>
          <w:p>
            <w:pPr>
              <w:jc w:val="right"/>
              <w:ind w:right="232"/>
              <w:spacing w:after="0"/>
              <w:rPr>
                <w:sz w:val="20"/>
                <w:szCs w:val="20"/>
                <w:color w:val="auto"/>
              </w:rPr>
            </w:pPr>
            <w:r>
              <w:rPr>
                <w:rFonts w:ascii="Arial" w:cs="Arial" w:eastAsia="Arial" w:hAnsi="Arial"/>
                <w:sz w:val="18"/>
                <w:szCs w:val="18"/>
                <w:b w:val="1"/>
                <w:bCs w:val="1"/>
                <w:color w:val="auto"/>
              </w:rPr>
              <w:t>Amount Being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Registration</w:t>
            </w:r>
          </w:p>
        </w:tc>
      </w:tr>
      <w:tr>
        <w:trPr>
          <w:trHeight w:val="305"/>
        </w:trPr>
        <w:tc>
          <w:tcPr>
            <w:tcW w:w="2020" w:type="dxa"/>
            <w:vAlign w:val="bottom"/>
          </w:tcPr>
          <w:p>
            <w:pPr>
              <w:jc w:val="right"/>
              <w:ind w:right="272"/>
              <w:spacing w:after="0"/>
              <w:rPr>
                <w:sz w:val="20"/>
                <w:szCs w:val="20"/>
                <w:color w:val="auto"/>
              </w:rPr>
            </w:pPr>
            <w:r>
              <w:rPr>
                <w:rFonts w:ascii="Arial" w:cs="Arial" w:eastAsia="Arial" w:hAnsi="Arial"/>
                <w:sz w:val="18"/>
                <w:szCs w:val="18"/>
                <w:b w:val="1"/>
                <w:bCs w:val="1"/>
                <w:color w:val="auto"/>
              </w:rPr>
              <w:t>Being Registered</w:t>
            </w:r>
          </w:p>
        </w:tc>
        <w:tc>
          <w:tcPr>
            <w:tcW w:w="1740" w:type="dxa"/>
            <w:vAlign w:val="bottom"/>
          </w:tcPr>
          <w:p>
            <w:pPr>
              <w:jc w:val="right"/>
              <w:ind w:right="292"/>
              <w:spacing w:after="0"/>
              <w:rPr>
                <w:sz w:val="20"/>
                <w:szCs w:val="20"/>
                <w:color w:val="auto"/>
              </w:rPr>
            </w:pPr>
            <w:r>
              <w:rPr>
                <w:rFonts w:ascii="Arial" w:cs="Arial" w:eastAsia="Arial" w:hAnsi="Arial"/>
                <w:sz w:val="18"/>
                <w:szCs w:val="18"/>
                <w:b w:val="1"/>
                <w:bCs w:val="1"/>
                <w:color w:val="auto"/>
              </w:rPr>
              <w:t>Registered</w:t>
            </w:r>
            <w:r>
              <w:rPr>
                <w:rFonts w:ascii="Arial" w:cs="Arial" w:eastAsia="Arial" w:hAnsi="Arial"/>
                <w:sz w:val="22"/>
                <w:szCs w:val="22"/>
                <w:b w:val="1"/>
                <w:bCs w:val="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3"/>
              </w:rPr>
              <w:t>Fee</w:t>
            </w:r>
          </w:p>
        </w:tc>
      </w:tr>
      <w:tr>
        <w:trPr>
          <w:trHeight w:val="57"/>
        </w:trPr>
        <w:tc>
          <w:tcPr>
            <w:tcW w:w="20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529"/>
        </w:trPr>
        <w:tc>
          <w:tcPr>
            <w:tcW w:w="2020" w:type="dxa"/>
            <w:vAlign w:val="bottom"/>
          </w:tcPr>
          <w:p>
            <w:pPr>
              <w:spacing w:after="0"/>
              <w:rPr>
                <w:sz w:val="20"/>
                <w:szCs w:val="20"/>
                <w:color w:val="auto"/>
              </w:rPr>
            </w:pPr>
            <w:r>
              <w:rPr>
                <w:rFonts w:ascii="Arial" w:cs="Arial" w:eastAsia="Arial" w:hAnsi="Arial"/>
                <w:sz w:val="18"/>
                <w:szCs w:val="18"/>
                <w:color w:val="auto"/>
              </w:rPr>
              <w:t>Common Stock, no par</w:t>
            </w:r>
          </w:p>
        </w:tc>
        <w:tc>
          <w:tcPr>
            <w:tcW w:w="1740" w:type="dxa"/>
            <w:vAlign w:val="bottom"/>
          </w:tcPr>
          <w:p>
            <w:pPr>
              <w:jc w:val="right"/>
              <w:ind w:right="292"/>
              <w:spacing w:after="0"/>
              <w:rPr>
                <w:sz w:val="20"/>
                <w:szCs w:val="20"/>
                <w:color w:val="auto"/>
              </w:rPr>
            </w:pPr>
            <w:r>
              <w:rPr>
                <w:rFonts w:ascii="Arial" w:cs="Arial" w:eastAsia="Arial" w:hAnsi="Arial"/>
                <w:sz w:val="18"/>
                <w:szCs w:val="18"/>
                <w:color w:val="auto"/>
              </w:rPr>
              <w:t>No shares</w:t>
            </w:r>
            <w:r>
              <w:rPr>
                <w:rFonts w:ascii="Arial" w:cs="Arial" w:eastAsia="Arial" w:hAnsi="Arial"/>
                <w:sz w:val="22"/>
                <w:szCs w:val="22"/>
                <w:color w:val="auto"/>
                <w:vertAlign w:val="superscript"/>
              </w:rPr>
              <w:t>(1)</w:t>
            </w:r>
          </w:p>
        </w:tc>
        <w:tc>
          <w:tcPr>
            <w:tcW w:w="170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$0</w:t>
            </w: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value</w:t>
            </w: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6340475</wp:posOffset>
            </wp:positionH>
            <wp:positionV relativeFrom="paragraph">
              <wp:posOffset>-506095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-506095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67945</wp:posOffset>
            </wp:positionV>
            <wp:extent cx="555244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52440" cy="29845"/>
                    </a:xfrm>
                    <a:prstGeom prst="rect">
                      <a:avLst/>
                    </a:prstGeom>
                    <a:noFill/>
                  </pic:spPr>
                </pic:pic>
              </a:graphicData>
            </a:graphic>
          </wp:anchor>
        </w:drawing>
      </w:r>
    </w:p>
    <w:p>
      <w:pPr>
        <w:spacing w:after="0" w:line="230" w:lineRule="exact"/>
        <w:rPr>
          <w:sz w:val="24"/>
          <w:szCs w:val="24"/>
          <w:color w:val="auto"/>
        </w:rPr>
      </w:pPr>
    </w:p>
    <w:p>
      <w:pPr>
        <w:ind w:left="580" w:right="100" w:hanging="572"/>
        <w:spacing w:after="0" w:line="259"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Registration Statement relates to the registration of an indeterminate amount of plan interests to be offered or sold under the Shawnlee Construction LLC 401(k) Plan (the “Shawnlee Construction LLC Plan”) of Shawnlee Construction LLC, a majority-owned subsidiary of Universal Forest Products, Inc. (the “Company”), pursuant to Rule 416(c).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3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and the Note to Part I of Form S-8.</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Company hereby incorporates by reference in this Registration Statement the following documents filed by the Company with the Commission:</w:t>
      </w:r>
    </w:p>
    <w:p>
      <w:pPr>
        <w:spacing w:after="0" w:line="24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latest Annual Report on Form 10-K filed pursuant to Section 13(a) of the Securities Exchange Act of 1934;</w:t>
      </w:r>
    </w:p>
    <w:p>
      <w:pPr>
        <w:spacing w:after="0" w:line="252"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other reports or documents filed by the Company pursuant to Section 13(a) or 15(d) of the Securities Exchange Act of 1934 since the end of the fiscal year covered by the Annual Report on Form 10-K referenced to in (a) above; and</w:t>
      </w:r>
    </w:p>
    <w:p>
      <w:pPr>
        <w:spacing w:after="0" w:line="212"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Company’s Common Stock is contained in the Company’s Registration Statement filed pursuant to Section 12 of the Exchange Act and is incorporated in this Registration Statement by reference, including any subsequent amendments or reports filed for the purpose of updating such description.</w:t>
      </w:r>
    </w:p>
    <w:p>
      <w:pPr>
        <w:spacing w:after="0" w:line="200" w:lineRule="exact"/>
        <w:rPr>
          <w:sz w:val="20"/>
          <w:szCs w:val="20"/>
          <w:color w:val="auto"/>
        </w:rPr>
      </w:pPr>
    </w:p>
    <w:p>
      <w:pPr>
        <w:spacing w:after="0" w:line="23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other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such documents.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incorporated or deemed to be incorporated by reference in this Registration Statement modifies or supersedes such statement. Any such statement so modified or superseded shall not be deemed, except as modified or superseded, to constitute a part of this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31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This Registration Statement relates to the registration of an indeterminate amount of plan interests to be offered or sold under the Shawnlee Construction LLC Plan of Shawnlee Construction LLC, a majority-owned subsidiary of the Company, pursuant to Rule 416(c).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Restated and Amended Articles of Incorporation of the Company provide that its directors and officers are required to be indemnified as of right to the fullest extent permitted under the Michigan Business Corporation Act (“MBCA”) in connection with any actual or threatened civil, criminal, administrative or investigative action, suit or proceeding (whether brought by or in the name of the Company, a subsidiary or otherwise) in which a director or officer is a witness or which is brought against a director or officer in his or her capacity as a director, officer, employee, agent or fiduciary of the Company or of any corporation, partnership, joint venture, trust, employee benefit plan or other enterprise which the director or officer was serving at the request of the Company. Persons who are not directors or officers of the Company may be similarly indemnified in respect of said service to the extent authorized by the Board of Directors of the Company. Under the MBCA, directors, officers, employees or agents are entitled to indemnification against expenses (including attorney fees) whenever they successfully defend legal proceedings brought against them by reason of the fact that they hold such a position with the Company. In addition, with respect to actions not brought by or in the right of the Company,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the Company or its shareholders and, with respect to criminal proceedings, he or she had no reasonable cause to believe that his or her conduct was unlawful. With respect to actions brought by or in the right of the Company,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the Company or its shareholders; provided, indemnification is not permitted if the person is found liable to the Company, unless the court in which the action or suit was brought has determined that indemnification is fair and reasonable in view of all the circumstances of the case.</w:t>
      </w:r>
    </w:p>
    <w:p>
      <w:pPr>
        <w:sectPr>
          <w:pgSz w:w="11900" w:h="16838" w:orient="portrait"/>
          <w:cols w:equalWidth="0" w:num="1">
            <w:col w:w="11400"/>
          </w:cols>
          <w:pgMar w:left="240" w:top="125" w:right="25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p>
      <w:pPr>
        <w:ind w:right="40"/>
        <w:spacing w:after="0" w:line="286" w:lineRule="auto"/>
        <w:rPr>
          <w:sz w:val="20"/>
          <w:szCs w:val="20"/>
          <w:color w:val="auto"/>
        </w:rPr>
      </w:pPr>
      <w:r>
        <w:rPr>
          <w:rFonts w:ascii="Arial" w:cs="Arial" w:eastAsia="Arial" w:hAnsi="Arial"/>
          <w:sz w:val="16"/>
          <w:szCs w:val="16"/>
          <w:color w:val="auto"/>
        </w:rPr>
        <w:t>The MBCA and the Company’s Restated and Amended Articles of Incorporation also authorize the Company to provide indemnification broader than that set forth in the MBCA and the Restated and Amended Articles of Incorporation. Pursuant to this authority, the Company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the Company or of any corporation, partnership, joint venture, trust, employee benefit plan or other enterprise which the director is serving at the request of the Company. Indemnification is permitted for expenses and reasonable settlement amounts incurred in connection with a proceeding by or in the right of the Company and for expenses, judgments, penalties, fines and reasonable settlement amounts incurred in connection with the proceeding other than by or in the right of the Company. Indemnification under the indemnity agreements is conditioned on the director having acted in good faith and in a manner he or she reasonably believes to be in or not opposed to the best interest of the Company and, with respect to any criminal proceeding, he or she had no reasonable cause to believe his or her conduct was unlawful. The Restated and Amended Articles of Incorporation of the Company also limit the personal liability of members of its Board of Directors for monetary damages with respect to claims by the Company or its shareholders resulting from certain negligent acts or omissions.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the Exhibit Index which appears on page 7.</w:t>
      </w:r>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No original issuance of common shares of the Company have been, or are presently intended to be, issued by the Company under the Shawnlee Construction LLC Plan. The Company intends to file a post-effective amendment with an opinion of counsel regarding the legality of the common shares that may be issued to the Shawnlee Construction LLC Plan by the Company in the event the Company elects to issue common shares to the Shawnlee Construction LLC Plan in the future.</w:t>
      </w:r>
    </w:p>
    <w:p>
      <w:pPr>
        <w:spacing w:after="0" w:line="1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hereby undertakes that it has submitted or will submit the Shawnlee Construction LLC Plan and any amendments thereto to the Internal Revenue Service (“IRS”) in a timely manner and has made or will make all changes required by the IRS in order to qualify the Shawnlee Construction LLC Plan under Section 401 of the Internal Revenue Code.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 Undertakings</w:t>
      </w:r>
    </w:p>
    <w:p>
      <w:pPr>
        <w:spacing w:after="0" w:line="299"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520"/>
        <w:spacing w:after="0"/>
        <w:tabs>
          <w:tab w:leader="none" w:pos="1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20" w:firstLine="360"/>
        <w:spacing w:after="0" w:line="259" w:lineRule="auto"/>
        <w:tabs>
          <w:tab w:leader="none" w:pos="1497"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the Registration Statement; and</w:t>
      </w:r>
    </w:p>
    <w:p>
      <w:pPr>
        <w:spacing w:after="0" w:line="221" w:lineRule="exact"/>
        <w:rPr>
          <w:rFonts w:ascii="Arial" w:cs="Arial" w:eastAsia="Arial" w:hAnsi="Arial"/>
          <w:sz w:val="18"/>
          <w:szCs w:val="18"/>
          <w:color w:val="auto"/>
        </w:rPr>
      </w:pPr>
    </w:p>
    <w:p>
      <w:pPr>
        <w:ind w:left="580" w:right="260" w:firstLine="360"/>
        <w:spacing w:after="0" w:line="268" w:lineRule="auto"/>
        <w:tabs>
          <w:tab w:leader="none" w:pos="154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periodic reports filed by the registrant pursuant to Section 13 or Section 15(d) of the Securities Exchange Act of 1934 that are incorporated by reference in the Registration Statement.</w:t>
      </w:r>
    </w:p>
    <w:p>
      <w:pPr>
        <w:spacing w:after="0" w:line="194" w:lineRule="exact"/>
        <w:rPr>
          <w:sz w:val="20"/>
          <w:szCs w:val="20"/>
          <w:color w:val="auto"/>
        </w:rPr>
      </w:pPr>
    </w:p>
    <w:p>
      <w:pPr>
        <w:ind w:right="60" w:firstLine="359"/>
        <w:spacing w:after="0" w:line="259" w:lineRule="auto"/>
        <w:tabs>
          <w:tab w:leader="none" w:pos="907"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rFonts w:ascii="Arial" w:cs="Arial" w:eastAsia="Arial" w:hAnsi="Arial"/>
          <w:sz w:val="18"/>
          <w:szCs w:val="18"/>
          <w:color w:val="auto"/>
        </w:rPr>
      </w:pPr>
    </w:p>
    <w:p>
      <w:pPr>
        <w:ind w:left="920" w:hanging="561"/>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the offering.</w:t>
      </w:r>
    </w:p>
    <w:p>
      <w:pPr>
        <w:spacing w:after="0" w:line="218" w:lineRule="exact"/>
        <w:rPr>
          <w:rFonts w:ascii="Arial" w:cs="Arial" w:eastAsia="Arial" w:hAnsi="Arial"/>
          <w:sz w:val="15"/>
          <w:szCs w:val="15"/>
          <w:color w:val="auto"/>
        </w:rPr>
      </w:pPr>
    </w:p>
    <w:p>
      <w:pPr>
        <w:ind w:right="20" w:firstLine="8"/>
        <w:spacing w:after="0" w:line="25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6" w:lineRule="exact"/>
        <w:rPr>
          <w:rFonts w:ascii="Arial" w:cs="Arial" w:eastAsia="Arial" w:hAnsi="Arial"/>
          <w:sz w:val="18"/>
          <w:szCs w:val="18"/>
          <w:color w:val="auto"/>
        </w:rPr>
      </w:pPr>
    </w:p>
    <w:p>
      <w:pPr>
        <w:ind w:right="100" w:firstLine="8"/>
        <w:spacing w:after="0" w:line="290" w:lineRule="auto"/>
        <w:tabs>
          <w:tab w:leader="none" w:pos="41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Grand Rapids, State of Michigan, on the 31st day of December, 2008.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B. Glenn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B. Glenn</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R. Cole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R. Cole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Michael B. Glenn and Michael R. Cole, and each of them,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any other regulatory authority, granting unto said attorney-in-fact and agent, full power and authority to do and perform each and every act and thing required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on December 31, 2008, by the following persons in the capacities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By: /s/ Peter F. Secchia</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Gary F. Goode</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Peter F. Secchia,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Gary F. Goode,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William G. Currie</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Mark A. Murray</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60"/>
              <w:spacing w:after="0"/>
              <w:rPr>
                <w:sz w:val="20"/>
                <w:szCs w:val="20"/>
                <w:color w:val="auto"/>
              </w:rPr>
            </w:pPr>
            <w:r>
              <w:rPr>
                <w:rFonts w:ascii="Arial" w:cs="Arial" w:eastAsia="Arial" w:hAnsi="Arial"/>
                <w:sz w:val="18"/>
                <w:szCs w:val="18"/>
                <w:color w:val="auto"/>
              </w:rPr>
              <w:t>William G. Currie,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Mark A. Murray,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John M. Engler</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Dan M. Dutton</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John M. Engler,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Dan M. Dutton,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John W. Garside</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Michael B. Glenn</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John W. Garside, Director</w:t>
            </w:r>
          </w:p>
        </w:tc>
        <w:tc>
          <w:tcPr>
            <w:tcW w:w="7220" w:type="dxa"/>
            <w:vAlign w:val="bottom"/>
          </w:tcPr>
          <w:p>
            <w:pPr>
              <w:ind w:left="2360"/>
              <w:spacing w:after="0"/>
              <w:rPr>
                <w:sz w:val="20"/>
                <w:szCs w:val="20"/>
                <w:color w:val="auto"/>
              </w:rPr>
            </w:pPr>
            <w:r>
              <w:rPr>
                <w:rFonts w:ascii="Arial" w:cs="Arial" w:eastAsia="Arial" w:hAnsi="Arial"/>
                <w:sz w:val="18"/>
                <w:szCs w:val="18"/>
                <w:color w:val="auto"/>
              </w:rPr>
              <w:t>Michael B. Glenn, Director</w:t>
            </w:r>
          </w:p>
        </w:tc>
      </w:tr>
      <w:tr>
        <w:trPr>
          <w:trHeight w:val="426"/>
        </w:trPr>
        <w:tc>
          <w:tcPr>
            <w:tcW w:w="4200" w:type="dxa"/>
            <w:vAlign w:val="bottom"/>
          </w:tcPr>
          <w:p>
            <w:pPr>
              <w:spacing w:after="0"/>
              <w:rPr>
                <w:sz w:val="20"/>
                <w:szCs w:val="20"/>
                <w:color w:val="auto"/>
              </w:rPr>
            </w:pPr>
            <w:r>
              <w:rPr>
                <w:rFonts w:ascii="Arial" w:cs="Arial" w:eastAsia="Arial" w:hAnsi="Arial"/>
                <w:sz w:val="18"/>
                <w:szCs w:val="18"/>
                <w:color w:val="auto"/>
              </w:rPr>
              <w:t>By: /s/ Louis A. Smith</w:t>
            </w:r>
          </w:p>
        </w:tc>
        <w:tc>
          <w:tcPr>
            <w:tcW w:w="7220" w:type="dxa"/>
            <w:vAlign w:val="bottom"/>
          </w:tcPr>
          <w:p>
            <w:pPr>
              <w:ind w:left="2080"/>
              <w:spacing w:after="0"/>
              <w:rPr>
                <w:sz w:val="20"/>
                <w:szCs w:val="20"/>
                <w:color w:val="auto"/>
              </w:rPr>
            </w:pPr>
            <w:r>
              <w:rPr>
                <w:rFonts w:ascii="Arial" w:cs="Arial" w:eastAsia="Arial" w:hAnsi="Arial"/>
                <w:sz w:val="18"/>
                <w:szCs w:val="18"/>
                <w:color w:val="auto"/>
              </w:rPr>
              <w:t>By: /s/ William R. Payne</w:t>
            </w:r>
          </w:p>
        </w:tc>
      </w:tr>
      <w:tr>
        <w:trPr>
          <w:trHeight w:val="216"/>
        </w:trPr>
        <w:tc>
          <w:tcPr>
            <w:tcW w:w="4200" w:type="dxa"/>
            <w:vAlign w:val="bottom"/>
          </w:tcPr>
          <w:p>
            <w:pPr>
              <w:ind w:left="280"/>
              <w:spacing w:after="0"/>
              <w:rPr>
                <w:sz w:val="20"/>
                <w:szCs w:val="20"/>
                <w:color w:val="auto"/>
              </w:rPr>
            </w:pPr>
            <w:r>
              <w:rPr>
                <w:rFonts w:ascii="Arial" w:cs="Arial" w:eastAsia="Arial" w:hAnsi="Arial"/>
                <w:sz w:val="18"/>
                <w:szCs w:val="18"/>
                <w:color w:val="auto"/>
              </w:rPr>
              <w:t>——————————————</w:t>
            </w:r>
          </w:p>
        </w:tc>
        <w:tc>
          <w:tcPr>
            <w:tcW w:w="7220" w:type="dxa"/>
            <w:vAlign w:val="bottom"/>
          </w:tcPr>
          <w:p>
            <w:pPr>
              <w:ind w:left="2360"/>
              <w:spacing w:after="0"/>
              <w:rPr>
                <w:sz w:val="20"/>
                <w:szCs w:val="20"/>
                <w:color w:val="auto"/>
              </w:rPr>
            </w:pPr>
            <w:r>
              <w:rPr>
                <w:rFonts w:ascii="Arial" w:cs="Arial" w:eastAsia="Arial" w:hAnsi="Arial"/>
                <w:sz w:val="18"/>
                <w:szCs w:val="18"/>
                <w:color w:val="auto"/>
              </w:rPr>
              <w:t>——————————————</w:t>
            </w:r>
          </w:p>
        </w:tc>
      </w:tr>
      <w:tr>
        <w:trPr>
          <w:trHeight w:val="222"/>
        </w:trPr>
        <w:tc>
          <w:tcPr>
            <w:tcW w:w="4200" w:type="dxa"/>
            <w:vAlign w:val="bottom"/>
          </w:tcPr>
          <w:p>
            <w:pPr>
              <w:ind w:left="280"/>
              <w:spacing w:after="0"/>
              <w:rPr>
                <w:sz w:val="20"/>
                <w:szCs w:val="20"/>
                <w:color w:val="auto"/>
              </w:rPr>
            </w:pPr>
            <w:r>
              <w:rPr>
                <w:rFonts w:ascii="Arial" w:cs="Arial" w:eastAsia="Arial" w:hAnsi="Arial"/>
                <w:sz w:val="18"/>
                <w:szCs w:val="18"/>
                <w:color w:val="auto"/>
              </w:rPr>
              <w:t>Louis A. Smith, Director</w:t>
            </w:r>
          </w:p>
        </w:tc>
        <w:tc>
          <w:tcPr>
            <w:tcW w:w="7220" w:type="dxa"/>
            <w:vAlign w:val="bottom"/>
          </w:tcPr>
          <w:p>
            <w:pPr>
              <w:ind w:left="2340"/>
              <w:spacing w:after="0"/>
              <w:rPr>
                <w:sz w:val="20"/>
                <w:szCs w:val="20"/>
                <w:color w:val="auto"/>
              </w:rPr>
            </w:pPr>
            <w:r>
              <w:rPr>
                <w:rFonts w:ascii="Arial" w:cs="Arial" w:eastAsia="Arial" w:hAnsi="Arial"/>
                <w:sz w:val="18"/>
                <w:szCs w:val="18"/>
                <w:color w:val="auto"/>
              </w:rPr>
              <w:t>William R. Payne, Director</w:t>
            </w:r>
          </w:p>
        </w:tc>
      </w:tr>
      <w:tr>
        <w:trPr>
          <w:trHeight w:val="675"/>
        </w:trPr>
        <w:tc>
          <w:tcPr>
            <w:tcW w:w="4200" w:type="dxa"/>
            <w:vAlign w:val="bottom"/>
          </w:tcPr>
          <w:p>
            <w:pPr>
              <w:spacing w:after="0"/>
              <w:rPr>
                <w:sz w:val="24"/>
                <w:szCs w:val="24"/>
                <w:color w:val="auto"/>
              </w:rPr>
            </w:pPr>
          </w:p>
        </w:tc>
        <w:tc>
          <w:tcPr>
            <w:tcW w:w="7220" w:type="dxa"/>
            <w:vAlign w:val="bottom"/>
          </w:tcPr>
          <w:p>
            <w:pPr>
              <w:ind w:left="1480"/>
              <w:spacing w:after="0"/>
              <w:rPr>
                <w:sz w:val="20"/>
                <w:szCs w:val="20"/>
                <w:color w:val="auto"/>
              </w:rPr>
            </w:pPr>
            <w:r>
              <w:rPr>
                <w:rFonts w:ascii="Arial" w:cs="Arial" w:eastAsia="Arial" w:hAnsi="Arial"/>
                <w:sz w:val="18"/>
                <w:szCs w:val="18"/>
                <w:color w:val="auto"/>
              </w:rPr>
              <w:t>5</w:t>
            </w:r>
          </w:p>
        </w:tc>
      </w:tr>
      <w:tr>
        <w:trPr>
          <w:trHeight w:val="242"/>
        </w:trPr>
        <w:tc>
          <w:tcPr>
            <w:tcW w:w="4200" w:type="dxa"/>
            <w:vAlign w:val="bottom"/>
            <w:tcBorders>
              <w:bottom w:val="single" w:sz="8" w:color="808080"/>
            </w:tcBorders>
          </w:tcPr>
          <w:p>
            <w:pPr>
              <w:spacing w:after="0"/>
              <w:rPr>
                <w:sz w:val="21"/>
                <w:szCs w:val="21"/>
                <w:color w:val="auto"/>
              </w:rPr>
            </w:pPr>
          </w:p>
        </w:tc>
        <w:tc>
          <w:tcPr>
            <w:tcW w:w="72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trustee has (or other persons who administer the employee benefit plan have) duly caused this Registration Statement to be signed on its behalf by the undersigned, thereunto duly authorized, in the City of Grand Rapids, State of Michigan, on the 31st day of December, 2008.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SHAWNLEE CONSTRUCTION LLC 401(k)</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PLAN</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Shawnlee Construction LLC, Plan Administrator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Michael R. Cole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Michael R. Cole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Treasurer, Chief Financial Officer and</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58" w:lineRule="exact"/>
        <w:rPr>
          <w:sz w:val="20"/>
          <w:szCs w:val="20"/>
          <w:color w:val="auto"/>
        </w:rPr>
      </w:pPr>
    </w:p>
    <w:p>
      <w:pPr>
        <w:ind w:left="1160" w:hanging="683"/>
        <w:spacing w:after="0" w:line="268"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form of Stock Certificate for Common Stock was filed as Exhibit 4(a) to a Registration Statement on Form S-1 (No. 33-69474), incorporated herein by reference</w:t>
      </w:r>
    </w:p>
    <w:p>
      <w:pPr>
        <w:spacing w:after="0" w:line="213"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Public Accounting Firm</w:t>
      </w:r>
    </w:p>
    <w:p>
      <w:pPr>
        <w:spacing w:after="0" w:line="252"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on the signature page of this Registration Statement)</w:t>
      </w:r>
    </w:p>
    <w:p>
      <w:pPr>
        <w:spacing w:after="0" w:line="200" w:lineRule="exact"/>
        <w:rPr>
          <w:sz w:val="20"/>
          <w:szCs w:val="20"/>
          <w:color w:val="auto"/>
        </w:rPr>
      </w:pPr>
    </w:p>
    <w:p>
      <w:pPr>
        <w:spacing w:after="0" w:line="26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60"/>
          </w:cols>
          <w:pgMar w:left="240" w:top="125" w:right="799" w:bottom="1440" w:gutter="0" w:footer="0" w:header="0"/>
        </w:sectPr>
      </w:pPr>
    </w:p>
    <w:bookmarkStart w:id="7" w:name="page8"/>
    <w:bookmarkEnd w:id="7"/>
    <w:p>
      <w:pPr>
        <w:jc w:val="center"/>
        <w:ind w:right="-299"/>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Shawnlee Construction LLC 401(k) Plan of our report dated February 13, 2008, with respect to the consolidated financial statements and schedule of Universal Forest Products, Inc. and subsidiaries included in its Annual Report (Form 10-K) for the fiscal year ended December 29, 2007, and the effectiveness of internal control over financial reporting of Universal Forest Products, Inc. and subsidiaries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5, 2009</w:t>
      </w:r>
    </w:p>
    <w:sectPr>
      <w:pgSz w:w="11900" w:h="16838" w:orient="portrait"/>
      <w:cols w:equalWidth="0" w:num="1">
        <w:col w:w="11120"/>
      </w:cols>
      <w:pgMar w:left="24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16"/>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2019-12-10T11:57:46Z</dcterms:created>
  <dcterms:modified xsi:type="dcterms:W3CDTF">2019-12-10T11:57:46Z</dcterms:modified>
</cp:coreProperties>
</file>