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28, 2009</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38-1465835</w:t>
            </w:r>
          </w:p>
        </w:tc>
      </w:tr>
      <w:tr>
        <w:trPr>
          <w:trHeight w:val="209"/>
        </w:trPr>
        <w:tc>
          <w:tcPr>
            <w:tcW w:w="4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42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49525</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4" w:lineRule="exact"/>
        <w:rPr>
          <w:sz w:val="20"/>
          <w:szCs w:val="20"/>
          <w:color w:val="auto"/>
        </w:rPr>
      </w:pPr>
    </w:p>
    <w:p>
      <w:pPr>
        <w:jc w:val="both"/>
        <w:ind w:left="340" w:right="17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060" w:val="left"/>
          <w:tab w:leader="none" w:pos="5260" w:val="left"/>
          <w:tab w:leader="none" w:pos="7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as of March 28, 2009</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460" w:type="dxa"/>
            <w:vAlign w:val="bottom"/>
          </w:tcPr>
          <w:p>
            <w:pPr>
              <w:spacing w:after="0"/>
              <w:rPr>
                <w:sz w:val="19"/>
                <w:szCs w:val="19"/>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19,178,761</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8"/>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220" w:type="dxa"/>
            <w:vAlign w:val="bottom"/>
            <w:gridSpan w:val="19"/>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Balance Sheets at March 28, 2009 December 27, 2008, and March 29, 2008</w:t>
              </w:r>
            </w:hyperlink>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Condensed Statements of Earnings for the Three Months Ended March 28, 2009 and</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29, 2008</w:t>
              </w:r>
            </w:hyperlink>
          </w:p>
        </w:tc>
        <w:tc>
          <w:tcPr>
            <w:tcW w:w="740" w:type="dxa"/>
            <w:vAlign w:val="bottom"/>
            <w:gridSpan w:val="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Equity for the Three Months Ended March 28, 2009 and March 29, 2008</w:t>
              </w:r>
            </w:hyperlink>
          </w:p>
        </w:tc>
        <w:tc>
          <w:tcPr>
            <w:tcW w:w="54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Condensed Statements of Cash Flows for the Three Months Ended March 28, 2009 and</w:t>
              </w:r>
            </w:hyperlink>
          </w:p>
        </w:tc>
        <w:tc>
          <w:tcPr>
            <w:tcW w:w="52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29, 2008</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Condensed Financial Statements</w:t>
              </w:r>
            </w:hyperlink>
          </w:p>
        </w:tc>
        <w:tc>
          <w:tcPr>
            <w:tcW w:w="38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310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20" w:type="dxa"/>
            <w:vAlign w:val="bottom"/>
            <w:gridSpan w:val="1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 Legal Proceedings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1A. Risk Factors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120" w:type="dxa"/>
            <w:vAlign w:val="bottom"/>
            <w:gridSpan w:val="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3. Defaults Upon Senior Securities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4. Submission of Matters to a Vote of Security Holders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6160" w:type="dxa"/>
            <w:vAlign w:val="bottom"/>
            <w:gridSpan w:val="1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EE"/>
              </w:rPr>
              <w:t>Exhibit 31(a)</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31(b)</w:t>
            </w:r>
          </w:p>
        </w:tc>
        <w:tc>
          <w:tcPr>
            <w:tcW w:w="724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32(a)</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March 28,</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27,</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March 29,</w:t>
            </w:r>
          </w:p>
        </w:tc>
      </w:tr>
      <w:tr>
        <w:trPr>
          <w:trHeight w:val="230"/>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33,584</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180,021</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138,043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161,896</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108,982</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109,942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135,767</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83,554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124,525</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190,801</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193,496</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260,292</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10,412</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6,283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7,799</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17,513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30,204</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403,618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380,908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504,187</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GOODWILL AND INDEFINITE-LIVED INTANGIBLE ASSETS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156,937</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159,263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155,053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22,723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22,751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27,407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503,393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505,177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509,716</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(263,144)</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(258,007)</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(242,668)</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240,249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247,170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267,048</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827,049</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816,019</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961,442</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103,198</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41,160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49,306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47,864</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21,888</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22,620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29,412</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16,223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15,490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153,616</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150,600</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181,486</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AND CAPITAL LEASE OBLIGATIONS, less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96,235</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85,684</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194,277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17,708</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17,056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24,469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17,376</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279,712</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267,793</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417,608</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Controlling interest 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Preferred stock, no par value; shares authorized 1,000,000; issued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outstanding, none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5680" w:type="dxa"/>
            <w:vAlign w:val="bottom"/>
          </w:tcPr>
          <w:p>
            <w:pPr>
              <w:ind w:left="400"/>
              <w:spacing w:after="0" w:line="201" w:lineRule="exact"/>
              <w:rPr>
                <w:sz w:val="20"/>
                <w:szCs w:val="20"/>
                <w:color w:val="auto"/>
              </w:rPr>
            </w:pPr>
            <w:r>
              <w:rPr>
                <w:rFonts w:ascii="Arial" w:cs="Arial" w:eastAsia="Arial" w:hAnsi="Arial"/>
                <w:sz w:val="18"/>
                <w:szCs w:val="18"/>
                <w:color w:val="auto"/>
                <w:w w:val="97"/>
              </w:rPr>
              <w:t>Common stock, no par value; shares authorized 40,000,000; issued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80" w:type="dxa"/>
            <w:vAlign w:val="bottom"/>
          </w:tcPr>
          <w:p>
            <w:pPr>
              <w:ind w:left="600"/>
              <w:spacing w:after="0"/>
              <w:rPr>
                <w:sz w:val="20"/>
                <w:szCs w:val="20"/>
                <w:color w:val="auto"/>
              </w:rPr>
            </w:pPr>
            <w:r>
              <w:rPr>
                <w:rFonts w:ascii="Arial" w:cs="Arial" w:eastAsia="Arial" w:hAnsi="Arial"/>
                <w:sz w:val="18"/>
                <w:szCs w:val="18"/>
                <w:color w:val="auto"/>
              </w:rPr>
              <w:t>and outstanding, 19,178,761, 19,088,880 and 18,940,741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19,179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18,941</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129,558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128,830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124,457</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392,105</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393,312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386,677</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earnings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4,460</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542,948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543,584</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534,535</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 stock notes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541,276</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541,883</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532,997</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10,837</w:t>
            </w:r>
          </w:p>
        </w:tc>
      </w:tr>
      <w:tr>
        <w:trPr>
          <w:trHeight w:val="230"/>
        </w:trPr>
        <w:tc>
          <w:tcPr>
            <w:tcW w:w="568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547,337</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548,226</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543,834</w:t>
            </w:r>
          </w:p>
        </w:tc>
        <w:tc>
          <w:tcPr>
            <w:tcW w:w="8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827,049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961,442</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87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75"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CONDENSED STATEMENTS OF EARNINGS</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c>
          <w:tcPr>
            <w:tcW w:w="17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28,</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29,</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361,722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489,512</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314,901</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434,692</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54,820</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49,092</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58,544</w:t>
            </w: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(GAIN) LOSS ON DISPOSITION OF ASSETS AND OTHER IMPAIRMENT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CHARGES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(4,531)</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3,221</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(7,752)</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(4,402)</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LOSS ATTRIBUTABLE TO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(4,576)</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LOSS PER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FOR BASIC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19,184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18,996</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WEIGHTED AVERAGE SHARES OUTSTANDING FOR DILUTED LOSS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19,184</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18,996</w:t>
            </w:r>
          </w:p>
        </w:tc>
        <w:tc>
          <w:tcPr>
            <w:tcW w:w="17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See notes to unaudited consolidated condensed financial statements.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97"/>
        </w:trPr>
        <w:tc>
          <w:tcPr>
            <w:tcW w:w="340" w:type="dxa"/>
            <w:vAlign w:val="bottom"/>
          </w:tcPr>
          <w:p>
            <w:pPr>
              <w:spacing w:after="0"/>
              <w:rPr>
                <w:sz w:val="24"/>
                <w:szCs w:val="24"/>
                <w:color w:val="auto"/>
              </w:rPr>
            </w:pPr>
          </w:p>
        </w:tc>
        <w:tc>
          <w:tcPr>
            <w:tcW w:w="6860" w:type="dxa"/>
            <w:vAlign w:val="bottom"/>
          </w:tcPr>
          <w:p>
            <w:pPr>
              <w:ind w:left="4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color w:val="auto"/>
                <w:w w:val="96"/>
              </w:rPr>
              <w:t>Controlling Interest Shareholders’ Equity</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Employees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Paid-</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Retained</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Comprehensive</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Stock Notes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8"/>
              </w:rPr>
              <w:t>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2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1"/>
              </w:rPr>
              <w:t>Common 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In Capital</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Earnings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Receivable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29, 2007</w:t>
            </w: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18,908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123,368</w:t>
            </w:r>
          </w:p>
        </w:tc>
        <w:tc>
          <w:tcPr>
            <w:tcW w:w="7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$ 391,253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b w:val="1"/>
                <w:bCs w:val="1"/>
                <w:color w:val="auto"/>
              </w:rPr>
              <w:t>4,704</w:t>
            </w:r>
          </w:p>
        </w:tc>
        <w:tc>
          <w:tcPr>
            <w:tcW w:w="220" w:type="dxa"/>
            <w:vAlign w:val="bottom"/>
            <w:shd w:val="clear" w:color="auto" w:fill="CCEEFF"/>
          </w:tcPr>
          <w:p>
            <w:pPr>
              <w:jc w:val="right"/>
              <w:ind w:right="100"/>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(1,565)</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10,376</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547,044</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(4,576)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 translation</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(244)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(4,582)</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Capital contribution from</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noncontrolling interest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368</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20,476 shares under</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employee stock plans</w:t>
            </w: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368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389</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2,444 shares under stock</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grant programs</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w w:val="95"/>
              </w:rPr>
              <w:t>Issuance of 9,980 shares under deferred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 exercised</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compensation arrangements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250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250</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373</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373</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27</w:t>
            </w:r>
          </w:p>
        </w:tc>
      </w:tr>
      <w:tr>
        <w:trPr>
          <w:trHeight w:val="27"/>
        </w:trPr>
        <w:tc>
          <w:tcPr>
            <w:tcW w:w="2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29, 2008</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18,941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124,457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$ 386,677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4,460</w:t>
            </w:r>
          </w:p>
        </w:tc>
        <w:tc>
          <w:tcPr>
            <w:tcW w:w="220" w:type="dxa"/>
            <w:vAlign w:val="bottom"/>
            <w:shd w:val="clear" w:color="auto" w:fill="CCEEFF"/>
          </w:tcPr>
          <w:p>
            <w:pPr>
              <w:jc w:val="right"/>
              <w:ind w:right="100"/>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(1,538)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10,837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543,834</w:t>
            </w:r>
          </w:p>
        </w:tc>
      </w:tr>
      <w:tr>
        <w:trPr>
          <w:trHeight w:val="20"/>
        </w:trPr>
        <w:tc>
          <w:tcPr>
            <w:tcW w:w="2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420" w:type="dxa"/>
            <w:vAlign w:val="bottom"/>
          </w:tcPr>
          <w:p>
            <w:pPr>
              <w:spacing w:after="0"/>
              <w:rPr>
                <w:sz w:val="20"/>
                <w:szCs w:val="20"/>
                <w:color w:val="auto"/>
              </w:rPr>
            </w:pPr>
            <w:r>
              <w:rPr>
                <w:rFonts w:ascii="Arial" w:cs="Arial" w:eastAsia="Arial" w:hAnsi="Arial"/>
                <w:sz w:val="14"/>
                <w:szCs w:val="14"/>
                <w:b w:val="1"/>
                <w:bCs w:val="1"/>
                <w:color w:val="auto"/>
              </w:rPr>
              <w:t>Balance at December 27, 2008</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19,089</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128,830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$ 393,312</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2,353</w:t>
            </w:r>
          </w:p>
        </w:tc>
        <w:tc>
          <w:tcPr>
            <w:tcW w:w="220" w:type="dxa"/>
            <w:vAlign w:val="bottom"/>
          </w:tcPr>
          <w:p>
            <w:pPr>
              <w:jc w:val="right"/>
              <w:ind w:right="100"/>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(1,701)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6,343</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548,226</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(1,207)</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Foreign currency translation</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adjustment</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(247)</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(1,666)</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15,602 shares under</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employee stock plans</w:t>
            </w: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301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317</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3,630 shares under stock</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grant programs</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72,179 shares under</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deferred compensation plans</w:t>
            </w: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Received 1,530 shares for the exercise</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stock options</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options exercised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deferred tax asset</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compensation arrangements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637</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637</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330</w:t>
            </w: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2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r>
      <w:tr>
        <w:trPr>
          <w:trHeight w:val="27"/>
        </w:trPr>
        <w:tc>
          <w:tcPr>
            <w:tcW w:w="2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28, 2009</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19,179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129,558</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$ 392,105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2,106</w:t>
            </w:r>
          </w:p>
        </w:tc>
        <w:tc>
          <w:tcPr>
            <w:tcW w:w="220" w:type="dxa"/>
            <w:vAlign w:val="bottom"/>
            <w:shd w:val="clear" w:color="auto" w:fill="CCEEFF"/>
          </w:tcPr>
          <w:p>
            <w:pPr>
              <w:jc w:val="right"/>
              <w:ind w:right="100"/>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(1,672)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6,061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547,337</w:t>
            </w:r>
          </w:p>
        </w:tc>
      </w:tr>
      <w:tr>
        <w:trPr>
          <w:trHeight w:val="20"/>
        </w:trPr>
        <w:tc>
          <w:tcPr>
            <w:tcW w:w="2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28,</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29,</w:t>
            </w:r>
          </w:p>
        </w:tc>
        <w:tc>
          <w:tcPr>
            <w:tcW w:w="10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loss attributable to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(4,576)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9,601</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loss on disposition of assets and other impairment and exit charges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(17,053)</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(21,954)</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18,600</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7,077</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(5,426)</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Insurance proceeds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24"/>
        </w:trPr>
        <w:tc>
          <w:tcPr>
            <w:tcW w:w="6860" w:type="dxa"/>
            <w:vAlign w:val="bottom"/>
          </w:tcPr>
          <w:p>
            <w:pPr>
              <w:ind w:left="20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19"/>
                <w:szCs w:val="19"/>
                <w:color w:val="auto"/>
              </w:rPr>
            </w:pPr>
          </w:p>
        </w:tc>
      </w:tr>
      <w:tr>
        <w:trPr>
          <w:trHeight w:val="215"/>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(11,271)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Borrowings of long-term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(11,119)</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(10,021)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9,427</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33,584</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(10,521)</w:t>
            </w:r>
          </w:p>
        </w:tc>
      </w:tr>
      <w:tr>
        <w:trPr>
          <w:trHeight w:val="202"/>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105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BASIS OF PRESENTATION</w:t>
      </w:r>
    </w:p>
    <w:p>
      <w:pPr>
        <w:spacing w:after="0" w:line="189" w:lineRule="exact"/>
        <w:rPr>
          <w:sz w:val="20"/>
          <w:szCs w:val="20"/>
          <w:color w:val="auto"/>
        </w:rPr>
      </w:pPr>
    </w:p>
    <w:p>
      <w:pPr>
        <w:jc w:val="both"/>
        <w:ind w:left="700" w:right="559"/>
        <w:spacing w:after="0" w:line="273" w:lineRule="auto"/>
        <w:rPr>
          <w:sz w:val="20"/>
          <w:szCs w:val="20"/>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significant intercompany transactions and balances have been eliminated.</w:t>
      </w:r>
    </w:p>
    <w:p>
      <w:pPr>
        <w:spacing w:after="0" w:line="138"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27, 2008.</w:t>
      </w:r>
    </w:p>
    <w:p>
      <w:pPr>
        <w:spacing w:after="0" w:line="161" w:lineRule="exact"/>
        <w:rPr>
          <w:sz w:val="20"/>
          <w:szCs w:val="20"/>
          <w:color w:val="auto"/>
        </w:rPr>
      </w:pPr>
    </w:p>
    <w:p>
      <w:pPr>
        <w:jc w:val="both"/>
        <w:ind w:left="700" w:right="559"/>
        <w:spacing w:after="0" w:line="287" w:lineRule="auto"/>
        <w:rPr>
          <w:sz w:val="20"/>
          <w:szCs w:val="20"/>
          <w:color w:val="auto"/>
        </w:rPr>
      </w:pPr>
      <w:r>
        <w:rPr>
          <w:rFonts w:ascii="Arial" w:cs="Arial" w:eastAsia="Arial" w:hAnsi="Arial"/>
          <w:sz w:val="16"/>
          <w:szCs w:val="16"/>
          <w:color w:val="auto"/>
        </w:rPr>
        <w:t xml:space="preserve">Effective at the beginning of the fiscal year ending December 26, 2009, we adopted SFAS No. 160,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Consolidated Financial Statements </w:t>
      </w:r>
      <w:r>
        <w:rPr>
          <w:rFonts w:ascii="Arial" w:cs="Arial" w:eastAsia="Arial" w:hAnsi="Arial"/>
          <w:sz w:val="16"/>
          <w:szCs w:val="16"/>
          <w:color w:val="auto"/>
        </w:rPr>
        <w:t>(“SFAS 160”). SFAS 160 establishes new accounting and reporting standards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 in a subsidiary and for the deconsolidation of a subsidiary. Specifically,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SFAS 160 clarifies that changes in a parent’s ownership interest in a subsidiary that do not result in deconsolidation are equity transactions if the parent retains its controlling financial interest. In addition, this statement requires that a parent recognize a gain or loss in net income when a subsidiary is deconsolidated. Such gain or loss will be measured using the fair value of the noncontrolling equity investment on the deconsolidation date. SFAS 160 also includes expanded disclosure requirements regarding the interests of the parent and its noncontrolling interest. The adoption of SFAS 160 did not have a material impact on our consolidated financial statements.</w:t>
      </w:r>
    </w:p>
    <w:p>
      <w:pPr>
        <w:spacing w:after="0" w:line="128"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9" w:lineRule="exact"/>
        <w:rPr>
          <w:sz w:val="20"/>
          <w:szCs w:val="20"/>
          <w:color w:val="auto"/>
        </w:rPr>
      </w:pPr>
    </w:p>
    <w:p>
      <w:pPr>
        <w:jc w:val="both"/>
        <w:ind w:left="700" w:right="559"/>
        <w:spacing w:after="0" w:line="291" w:lineRule="auto"/>
        <w:rPr>
          <w:sz w:val="20"/>
          <w:szCs w:val="20"/>
          <w:color w:val="auto"/>
        </w:rPr>
      </w:pPr>
      <w:r>
        <w:rPr>
          <w:rFonts w:ascii="Arial" w:cs="Arial" w:eastAsia="Arial" w:hAnsi="Arial"/>
          <w:sz w:val="16"/>
          <w:szCs w:val="16"/>
          <w:color w:val="auto"/>
        </w:rPr>
        <w:t xml:space="preserve">Effective at the beginning of the fiscal year ended December 27, 2008, we adopted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157”). This new standard establishes a framework for measuring the fair value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adoption has not had a material impact on our consolidated financial statements. SFAS 157 requires fair value measurements be classified and disclosed in one of three categories.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700" w:right="559"/>
        <w:spacing w:after="0" w:line="342" w:lineRule="auto"/>
        <w:rPr>
          <w:sz w:val="20"/>
          <w:szCs w:val="20"/>
          <w:color w:val="auto"/>
        </w:rPr>
      </w:pPr>
      <w:r>
        <w:rPr>
          <w:rFonts w:ascii="Arial" w:cs="Arial" w:eastAsia="Arial" w:hAnsi="Arial"/>
          <w:sz w:val="16"/>
          <w:szCs w:val="16"/>
          <w:color w:val="auto"/>
        </w:rPr>
        <w:t xml:space="preserve">Effective at the beginning of the fiscal year ended December 26, 2009, we adopted the nonfinancial asset and liability provisions of SFAS 157 as previously deferred by FSP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valuation of our financial instruments.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March 28, 2009</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7"/>
              </w:rPr>
              <w:t>March 29, 2008</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7"/>
              </w:rPr>
              <w:t>Quoted</w:t>
            </w:r>
          </w:p>
        </w:tc>
        <w:tc>
          <w:tcPr>
            <w:tcW w:w="140" w:type="dxa"/>
            <w:vAlign w:val="bottom"/>
          </w:tcPr>
          <w:p>
            <w:pPr>
              <w:spacing w:after="0"/>
              <w:rPr>
                <w:sz w:val="16"/>
                <w:szCs w:val="16"/>
                <w:color w:val="auto"/>
              </w:rPr>
            </w:pPr>
          </w:p>
        </w:tc>
        <w:tc>
          <w:tcPr>
            <w:tcW w:w="6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5"/>
              </w:rPr>
              <w:t>Prices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1"/>
              </w:rPr>
              <w:t>Quoted</w:t>
            </w:r>
          </w:p>
        </w:tc>
        <w:tc>
          <w:tcPr>
            <w:tcW w:w="120" w:type="dxa"/>
            <w:vAlign w:val="bottom"/>
          </w:tcPr>
          <w:p>
            <w:pPr>
              <w:spacing w:after="0"/>
              <w:rPr>
                <w:sz w:val="16"/>
                <w:szCs w:val="16"/>
                <w:color w:val="auto"/>
              </w:rPr>
            </w:pPr>
          </w:p>
        </w:tc>
        <w:tc>
          <w:tcPr>
            <w:tcW w:w="6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7"/>
              </w:rPr>
              <w:t>Prices</w:t>
            </w:r>
          </w:p>
        </w:tc>
        <w:tc>
          <w:tcPr>
            <w:tcW w:w="8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Prices in</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with Other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Prices in</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with Other</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1160" w:type="dxa"/>
            <w:vAlign w:val="bottom"/>
            <w:gridSpan w:val="3"/>
          </w:tcPr>
          <w:p>
            <w:pPr>
              <w:spacing w:after="0"/>
              <w:rPr>
                <w:sz w:val="20"/>
                <w:szCs w:val="20"/>
                <w:color w:val="auto"/>
              </w:rPr>
            </w:pPr>
            <w:r>
              <w:rPr>
                <w:rFonts w:ascii="Arial" w:cs="Arial" w:eastAsia="Arial" w:hAnsi="Arial"/>
                <w:sz w:val="18"/>
                <w:szCs w:val="18"/>
                <w:color w:val="auto"/>
              </w:rPr>
              <w:t>Observable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880" w:type="dxa"/>
            <w:vAlign w:val="bottom"/>
            <w:gridSpan w:val="3"/>
          </w:tcPr>
          <w:p>
            <w:pPr>
              <w:spacing w:after="0"/>
              <w:rPr>
                <w:sz w:val="20"/>
                <w:szCs w:val="20"/>
                <w:color w:val="auto"/>
              </w:rPr>
            </w:pPr>
            <w:r>
              <w:rPr>
                <w:rFonts w:ascii="Arial" w:cs="Arial" w:eastAsia="Arial" w:hAnsi="Arial"/>
                <w:sz w:val="18"/>
                <w:szCs w:val="18"/>
                <w:color w:val="auto"/>
                <w:w w:val="93"/>
              </w:rPr>
              <w:t>Observable</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Inputs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Inputs</w:t>
            </w:r>
          </w:p>
        </w:tc>
      </w:tr>
      <w:tr>
        <w:trPr>
          <w:trHeight w:val="230"/>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Total</w:t>
            </w:r>
          </w:p>
        </w:tc>
        <w:tc>
          <w:tcPr>
            <w:tcW w:w="1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Total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marketable securities</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r>
      <w:tr>
        <w:trPr>
          <w:trHeight w:val="223"/>
        </w:trPr>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 xml:space="preserve">Effective at the beginning of the fiscal year ended December 27, 2008, we adopted SFAS 159, </w:t>
      </w:r>
      <w:r>
        <w:rPr>
          <w:rFonts w:ascii="Arial" w:cs="Arial" w:eastAsia="Arial" w:hAnsi="Arial"/>
          <w:sz w:val="18"/>
          <w:szCs w:val="18"/>
          <w:i w:val="1"/>
          <w:iCs w:val="1"/>
          <w:color w:val="auto"/>
        </w:rPr>
        <w:t>The Fair Value Option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(“SFAS 159”). SFAS 159 allows companies to choose to measure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and certain other items at fair value. The statement requires that unrealized gains and losses are reported in earnings for items measured using the fair value option and establishes presentation and disclosure requirements. We have elected not to apply the fair value option to any of our financial instruments except for those expressly required by U.S. GAAP.</w:t>
      </w:r>
    </w:p>
    <w:p>
      <w:pPr>
        <w:spacing w:after="0" w:line="162"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C.</w:t>
        <w:tab/>
        <w:t>REVENUE RECOGNITION</w:t>
      </w:r>
    </w:p>
    <w:p>
      <w:pPr>
        <w:spacing w:after="0" w:line="189" w:lineRule="exact"/>
        <w:rPr>
          <w:sz w:val="20"/>
          <w:szCs w:val="20"/>
          <w:color w:val="auto"/>
        </w:rPr>
      </w:pPr>
    </w:p>
    <w:p>
      <w:pPr>
        <w:jc w:val="both"/>
        <w:ind w:left="700" w:right="559"/>
        <w:spacing w:after="0" w:line="288" w:lineRule="auto"/>
        <w:rPr>
          <w:sz w:val="20"/>
          <w:szCs w:val="20"/>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becomes apparent.</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28,</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27,</w:t>
            </w: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March 29,</w:t>
            </w:r>
          </w:p>
        </w:tc>
      </w:tr>
      <w:tr>
        <w:trPr>
          <w:trHeight w:val="230"/>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12,225</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4,640</w:t>
            </w: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8,421</w:t>
            </w:r>
          </w:p>
        </w:tc>
      </w:tr>
    </w:tbl>
    <w:p>
      <w:pPr>
        <w:spacing w:after="0" w:line="143"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7"/>
          <w:szCs w:val="17"/>
          <w:b w:val="1"/>
          <w:bCs w:val="1"/>
          <w:color w:val="auto"/>
        </w:rPr>
        <w:t>LOSS PER SHARE</w:t>
      </w:r>
    </w:p>
    <w:p>
      <w:pPr>
        <w:spacing w:after="0" w:line="189"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7"/>
          </w:tcPr>
          <w:p>
            <w:pPr>
              <w:jc w:val="right"/>
              <w:ind w:right="580"/>
              <w:spacing w:after="0"/>
              <w:rPr>
                <w:sz w:val="20"/>
                <w:szCs w:val="20"/>
                <w:color w:val="auto"/>
              </w:rPr>
            </w:pPr>
            <w:r>
              <w:rPr>
                <w:rFonts w:ascii="Arial" w:cs="Arial" w:eastAsia="Arial" w:hAnsi="Arial"/>
                <w:sz w:val="18"/>
                <w:szCs w:val="18"/>
                <w:color w:val="auto"/>
                <w:w w:val="95"/>
              </w:rPr>
              <w:t>Three Months Ended March 28, 2009</w:t>
            </w:r>
          </w:p>
        </w:tc>
        <w:tc>
          <w:tcPr>
            <w:tcW w:w="140" w:type="dxa"/>
            <w:vAlign w:val="bottom"/>
          </w:tcPr>
          <w:p>
            <w:pPr>
              <w:spacing w:after="0"/>
              <w:rPr>
                <w:sz w:val="20"/>
                <w:szCs w:val="20"/>
                <w:color w:val="auto"/>
              </w:rPr>
            </w:pPr>
          </w:p>
        </w:tc>
        <w:tc>
          <w:tcPr>
            <w:tcW w:w="3220" w:type="dxa"/>
            <w:vAlign w:val="bottom"/>
            <w:gridSpan w:val="7"/>
          </w:tcPr>
          <w:p>
            <w:pPr>
              <w:jc w:val="right"/>
              <w:ind w:right="360"/>
              <w:spacing w:after="0"/>
              <w:rPr>
                <w:sz w:val="20"/>
                <w:szCs w:val="20"/>
                <w:color w:val="auto"/>
              </w:rPr>
            </w:pPr>
            <w:r>
              <w:rPr>
                <w:rFonts w:ascii="Arial" w:cs="Arial" w:eastAsia="Arial" w:hAnsi="Arial"/>
                <w:sz w:val="18"/>
                <w:szCs w:val="18"/>
                <w:color w:val="auto"/>
                <w:w w:val="95"/>
              </w:rPr>
              <w:t>Three Months Ended March 29, 2008</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Income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w:t>
            </w: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Income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(Denominator)</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Amount</w:t>
            </w:r>
          </w:p>
        </w:tc>
        <w:tc>
          <w:tcPr>
            <w:tcW w:w="11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(Denominator)</w:t>
            </w:r>
          </w:p>
        </w:tc>
        <w:tc>
          <w:tcPr>
            <w:tcW w:w="8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Amount</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Attributable to</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Controlling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and assumed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ind w:left="700" w:right="1760"/>
        <w:spacing w:after="0" w:line="308" w:lineRule="auto"/>
        <w:rPr>
          <w:sz w:val="20"/>
          <w:szCs w:val="20"/>
          <w:color w:val="auto"/>
        </w:rPr>
      </w:pPr>
      <w:r>
        <w:rPr>
          <w:rFonts w:ascii="Arial" w:cs="Arial" w:eastAsia="Arial" w:hAnsi="Arial"/>
          <w:sz w:val="17"/>
          <w:szCs w:val="17"/>
          <w:color w:val="auto"/>
        </w:rPr>
        <w:t>Options to purchase shares and certain other shares of common stock were not included in the computation of diluted EPS because they were antidilutive given the net loss for the quarters ended March 28, 2009 and March 29, 2008.</w:t>
      </w:r>
    </w:p>
    <w:p>
      <w:pPr>
        <w:spacing w:after="0" w:line="102"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SALE OF ACCOUNTS RECEIVABLE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March 8, 2006 we entered into an accounts receivable sale arrangement with a bank that was terminated 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26, 2008. Under the terms of this arrangement:</w:t>
      </w:r>
    </w:p>
    <w:p>
      <w:pPr>
        <w:spacing w:after="0" w:line="184"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sold specific receivables to the bank at an agreed-upon price at terms ranging from one month to one year.</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serviced the receivables sold and outstanding on behalf of the bank at a rate of 0.50% per annum.</w:t>
      </w:r>
    </w:p>
    <w:p>
      <w:pPr>
        <w:spacing w:after="0" w:line="157" w:lineRule="exact"/>
        <w:rPr>
          <w:rFonts w:ascii="Arial" w:cs="Arial" w:eastAsia="Arial" w:hAnsi="Arial"/>
          <w:sz w:val="18"/>
          <w:szCs w:val="18"/>
          <w:b w:val="1"/>
          <w:bCs w:val="1"/>
          <w:color w:val="auto"/>
        </w:rPr>
      </w:pPr>
    </w:p>
    <w:p>
      <w:pPr>
        <w:jc w:val="both"/>
        <w:ind w:left="1040" w:right="1760" w:hanging="343"/>
        <w:spacing w:after="0" w:line="286" w:lineRule="auto"/>
        <w:tabs>
          <w:tab w:leader="none" w:pos="10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We received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97" w:lineRule="exact"/>
        <w:rPr>
          <w:rFonts w:ascii="Arial" w:cs="Arial" w:eastAsia="Arial" w:hAnsi="Arial"/>
          <w:sz w:val="17"/>
          <w:szCs w:val="17"/>
          <w:b w:val="1"/>
          <w:bCs w:val="1"/>
          <w:color w:val="auto"/>
        </w:rPr>
      </w:pPr>
    </w:p>
    <w:p>
      <w:pPr>
        <w:ind w:left="1040" w:right="1760" w:hanging="343"/>
        <w:spacing w:after="0" w:line="277"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was $50 million.</w:t>
      </w:r>
    </w:p>
    <w:p>
      <w:pPr>
        <w:spacing w:after="0" w:line="130" w:lineRule="exact"/>
        <w:rPr>
          <w:sz w:val="20"/>
          <w:szCs w:val="20"/>
          <w:color w:val="auto"/>
        </w:rPr>
      </w:pPr>
    </w:p>
    <w:p>
      <w:pPr>
        <w:jc w:val="both"/>
        <w:ind w:left="700" w:right="1760"/>
        <w:spacing w:after="0" w:line="264" w:lineRule="auto"/>
        <w:rPr>
          <w:sz w:val="20"/>
          <w:szCs w:val="20"/>
          <w:color w:val="auto"/>
        </w:rPr>
      </w:pPr>
      <w:r>
        <w:rPr>
          <w:rFonts w:ascii="Arial" w:cs="Arial" w:eastAsia="Arial" w:hAnsi="Arial"/>
          <w:sz w:val="18"/>
          <w:szCs w:val="18"/>
          <w:color w:val="auto"/>
        </w:rPr>
        <w:t>No receivables were outstanding as of March 28, 2009. On March 29, 2008, $54.1 million of receivables were sold and outstanding, and we recorded $4.1 million of retained interest in “Other current assets”. A summary of the transactions we completed for the first three months of 2008 are presented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29, 2008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4420" w:type="dxa"/>
            <w:vAlign w:val="bottom"/>
            <w:gridSpan w:val="2"/>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111,940</w:t>
            </w: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Servicing fee received</w:t>
            </w:r>
          </w:p>
        </w:tc>
        <w:tc>
          <w:tcPr>
            <w:tcW w:w="4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4420" w:type="dxa"/>
            <w:vAlign w:val="bottom"/>
            <w:gridSpan w:val="2"/>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109,183</w:t>
            </w: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80" w:type="dxa"/>
            <w:vAlign w:val="bottom"/>
            <w:vMerge w:val="restart"/>
          </w:tcPr>
          <w:p>
            <w:pPr>
              <w:jc w:val="right"/>
              <w:ind w:right="285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ind w:left="680" w:right="559" w:hanging="348"/>
        <w:spacing w:after="0" w:line="282"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(GAIN) LOSS ON DISPOSITION OF ASSETS AND OTHER IMPAIRMENTS AND EXIT CHARGES</w:t>
      </w:r>
    </w:p>
    <w:p>
      <w:pPr>
        <w:spacing w:after="0" w:line="125" w:lineRule="exact"/>
        <w:rPr>
          <w:sz w:val="20"/>
          <w:szCs w:val="20"/>
          <w:color w:val="auto"/>
        </w:rPr>
      </w:pPr>
    </w:p>
    <w:p>
      <w:pPr>
        <w:jc w:val="both"/>
        <w:ind w:left="700" w:right="559"/>
        <w:spacing w:after="0" w:line="272" w:lineRule="auto"/>
        <w:rPr>
          <w:sz w:val="20"/>
          <w:szCs w:val="20"/>
          <w:color w:val="auto"/>
        </w:rPr>
      </w:pPr>
      <w:r>
        <w:rPr>
          <w:rFonts w:ascii="Arial" w:cs="Arial" w:eastAsia="Arial" w:hAnsi="Arial"/>
          <w:sz w:val="17"/>
          <w:szCs w:val="17"/>
          <w:color w:val="auto"/>
        </w:rPr>
        <w:t>Included in “Assets held for sale” on our Consolidated Condensed Balance Sheets are certain property, plant and equipment totaling $5.5 million on March 28, 2009 and $10.4 million on March 29, 2008. The assets held for sale consist of certain vacant land and several facilities we closed to better align manufacturing capacity with the current business environment. The fair values were determined based on appraisals or recent offers to acquire the assets. These and other idle assets were evaluated based on the requirements of SFAS 144, which resulted in certain impairment and other exit charges. “Net (gain) loss on disposition of assets and other impairment and exit charges” consists of the following amounts, separated by reporting segment, for the periods presented below (in millions):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ind w:left="460"/>
              <w:spacing w:after="0"/>
              <w:rPr>
                <w:sz w:val="20"/>
                <w:szCs w:val="20"/>
                <w:color w:val="auto"/>
              </w:rPr>
            </w:pPr>
            <w:r>
              <w:rPr>
                <w:rFonts w:ascii="Arial" w:cs="Arial" w:eastAsia="Arial" w:hAnsi="Arial"/>
                <w:sz w:val="18"/>
                <w:szCs w:val="18"/>
                <w:color w:val="auto"/>
              </w:rPr>
              <w:t>March 28, 2009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4"/>
          </w:tcPr>
          <w:p>
            <w:pPr>
              <w:ind w:left="440"/>
              <w:spacing w:after="0"/>
              <w:rPr>
                <w:sz w:val="20"/>
                <w:szCs w:val="20"/>
                <w:color w:val="auto"/>
              </w:rPr>
            </w:pPr>
            <w:r>
              <w:rPr>
                <w:rFonts w:ascii="Arial" w:cs="Arial" w:eastAsia="Arial" w:hAnsi="Arial"/>
                <w:sz w:val="18"/>
                <w:szCs w:val="18"/>
                <w:color w:val="auto"/>
              </w:rPr>
              <w:t>March 29, 2008</w:t>
            </w:r>
          </w:p>
        </w:tc>
      </w:tr>
      <w:tr>
        <w:trPr>
          <w:trHeight w:val="195"/>
        </w:trPr>
        <w:tc>
          <w:tcPr>
            <w:tcW w:w="440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86"/>
              </w:rPr>
              <w:t>Eastern and</w:t>
            </w:r>
          </w:p>
        </w:tc>
        <w:tc>
          <w:tcPr>
            <w:tcW w:w="9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340"/>
              <w:spacing w:after="0" w:line="195" w:lineRule="exact"/>
              <w:rPr>
                <w:sz w:val="20"/>
                <w:szCs w:val="20"/>
                <w:color w:val="auto"/>
              </w:rPr>
            </w:pPr>
            <w:r>
              <w:rPr>
                <w:rFonts w:ascii="Arial" w:cs="Arial" w:eastAsia="Arial" w:hAnsi="Arial"/>
                <w:sz w:val="18"/>
                <w:szCs w:val="18"/>
                <w:color w:val="auto"/>
                <w:w w:val="88"/>
              </w:rPr>
              <w:t>Eastern and</w:t>
            </w: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Western</w:t>
            </w:r>
          </w:p>
        </w:tc>
        <w:tc>
          <w:tcPr>
            <w:tcW w:w="940" w:type="dxa"/>
            <w:vAlign w:val="bottom"/>
          </w:tcPr>
          <w:p>
            <w:pPr>
              <w:jc w:val="center"/>
              <w:spacing w:after="0"/>
              <w:rPr>
                <w:sz w:val="20"/>
                <w:szCs w:val="20"/>
                <w:color w:val="auto"/>
              </w:rPr>
            </w:pPr>
            <w:r>
              <w:rPr>
                <w:rFonts w:ascii="Arial" w:cs="Arial" w:eastAsia="Arial" w:hAnsi="Arial"/>
                <w:sz w:val="18"/>
                <w:szCs w:val="18"/>
                <w:color w:val="auto"/>
              </w:rPr>
              <w:t>All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Western</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rPr>
              <w:t>All</w:t>
            </w:r>
          </w:p>
        </w:tc>
      </w:tr>
      <w:tr>
        <w:trPr>
          <w:trHeight w:val="230"/>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Divisions</w:t>
            </w:r>
          </w:p>
        </w:tc>
        <w:tc>
          <w:tcPr>
            <w:tcW w:w="3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Divisions</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assets held for sale in 2009 are as follows (in millions):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Net Book</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Net Sale</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360" w:type="dxa"/>
            <w:vAlign w:val="bottom"/>
          </w:tcPr>
          <w:p>
            <w:pPr>
              <w:spacing w:after="0"/>
              <w:rPr>
                <w:sz w:val="20"/>
                <w:szCs w:val="20"/>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Date of Sale</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as of December 27, 2008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Sale of certain real estate in Woodburn, Oregon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February 6, 2009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as of March 28, 2009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G.</w:t>
        <w:tab/>
        <w:t>COMMITMENTS, CONTINGENCIES, AND GUARANTEES</w:t>
      </w:r>
    </w:p>
    <w:p>
      <w:pPr>
        <w:spacing w:after="0" w:line="189"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w:t>
      </w:r>
    </w:p>
    <w:p>
      <w:pPr>
        <w:spacing w:after="0" w:line="130" w:lineRule="exact"/>
        <w:rPr>
          <w:sz w:val="20"/>
          <w:szCs w:val="20"/>
          <w:color w:val="auto"/>
        </w:rPr>
      </w:pPr>
    </w:p>
    <w:p>
      <w:pPr>
        <w:jc w:val="both"/>
        <w:ind w:left="700" w:right="559"/>
        <w:spacing w:after="0" w:line="271"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w:t>
      </w:r>
    </w:p>
    <w:p>
      <w:pPr>
        <w:spacing w:after="0" w:line="152"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On a consolidated basis, we have reserved approximately $4.3 million on March 28, 2009 and $4.4 million on March 29, 2008, representing the estimated costs to complete future remediation efforts. These amounts have not been reduced by an insurance receivable.</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We market a modest amount of CCA treated products for permitted, non-residential applications.</w:t>
      </w:r>
    </w:p>
    <w:p>
      <w:pPr>
        <w:spacing w:after="0" w:line="148"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30"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In addition, on March 28, 2009,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28, 2009, we had outstanding purchase commitments on capital projects of approximately $1.5 million.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w:t>
      </w:r>
    </w:p>
    <w:p>
      <w:pPr>
        <w:spacing w:after="0" w:line="196"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March 28, 2009, we had approximately $23.4 million in outstanding payment and performance bonds, which expire during the next two years. In addition, approximately $26.9 million in payment and performance bonds are outstanding for completed projects which are still under warranty.</w:t>
      </w:r>
    </w:p>
    <w:p>
      <w:pPr>
        <w:spacing w:after="0" w:line="162" w:lineRule="exact"/>
        <w:rPr>
          <w:sz w:val="20"/>
          <w:szCs w:val="20"/>
          <w:color w:val="auto"/>
        </w:rPr>
      </w:pPr>
    </w:p>
    <w:p>
      <w:pPr>
        <w:jc w:val="both"/>
        <w:ind w:left="700" w:right="559"/>
        <w:spacing w:after="0" w:line="276" w:lineRule="auto"/>
        <w:rPr>
          <w:sz w:val="20"/>
          <w:szCs w:val="20"/>
          <w:color w:val="auto"/>
        </w:rPr>
      </w:pPr>
      <w:r>
        <w:rPr>
          <w:rFonts w:ascii="Arial" w:cs="Arial" w:eastAsia="Arial" w:hAnsi="Arial"/>
          <w:sz w:val="17"/>
          <w:szCs w:val="17"/>
          <w:color w:val="auto"/>
        </w:rPr>
        <w:t>We have entered into operating leases for certain personal property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$2.0 million.</w:t>
      </w:r>
    </w:p>
    <w:p>
      <w:pPr>
        <w:spacing w:after="0" w:line="132"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On March 28, 2009, we had outstanding letters of credit totaling $32.2 million, primarily related to certain insurance contracts and industrial development revenue bonds as further described below.</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700"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$17.4 million for these types of insurance arrangements. We have reserves recorded on our balance sheet, in accrued liabilities, that reflect our expected future liabilities under these insurance arrangements.</w:t>
      </w:r>
    </w:p>
    <w:p>
      <w:pPr>
        <w:spacing w:after="0" w:line="131"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$14.8 million related to our outstanding industrial development revenue bonds. These letters of credit have varying terms but may be renewed at the option of the issuing banks.</w:t>
      </w:r>
    </w:p>
    <w:p>
      <w:pPr>
        <w:spacing w:after="0" w:line="148" w:lineRule="exact"/>
        <w:rPr>
          <w:sz w:val="20"/>
          <w:szCs w:val="20"/>
          <w:color w:val="auto"/>
        </w:rPr>
      </w:pPr>
    </w:p>
    <w:p>
      <w:pPr>
        <w:jc w:val="both"/>
        <w:ind w:left="700" w:right="559"/>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60" w:lineRule="exact"/>
        <w:rPr>
          <w:sz w:val="20"/>
          <w:szCs w:val="20"/>
          <w:color w:val="auto"/>
        </w:rPr>
      </w:pPr>
    </w:p>
    <w:p>
      <w:pPr>
        <w:jc w:val="both"/>
        <w:ind w:left="700" w:right="559"/>
        <w:spacing w:after="0" w:line="254" w:lineRule="auto"/>
        <w:rPr>
          <w:sz w:val="20"/>
          <w:szCs w:val="20"/>
          <w:color w:val="auto"/>
        </w:rPr>
      </w:pPr>
      <w:r>
        <w:rPr>
          <w:rFonts w:ascii="Arial" w:cs="Arial" w:eastAsia="Arial" w:hAnsi="Arial"/>
          <w:sz w:val="18"/>
          <w:szCs w:val="18"/>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$0.4 million. As a result, this amount is recorded in other long-term liabilities on March 28, 2009.</w:t>
      </w:r>
    </w:p>
    <w:p>
      <w:pPr>
        <w:spacing w:after="0" w:line="152"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2009 which would require us to recognize a liability on our balance sheet.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7"/>
          <w:szCs w:val="17"/>
          <w:b w:val="1"/>
          <w:bCs w:val="1"/>
          <w:color w:val="auto"/>
        </w:rPr>
        <w:t>BUSINESS COMBINATIONS</w:t>
      </w:r>
    </w:p>
    <w:p>
      <w:pPr>
        <w:spacing w:after="0" w:line="189"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color w:val="auto"/>
        </w:rPr>
        <w:t>No business combinations were completed in fiscal 2009. We completed the following business combinations in fiscal 2008, which were accounted for using the purchase method (in millions).</w:t>
      </w:r>
    </w:p>
    <w:p>
      <w:pPr>
        <w:sectPr>
          <w:pgSz w:w="11900" w:h="16838" w:orient="portrait"/>
          <w:cols w:equalWidth="0" w:num="1">
            <w:col w:w="10219"/>
          </w:cols>
          <w:pgMar w:left="240" w:top="419" w:right="1440" w:bottom="1440" w:gutter="0" w:footer="0" w:header="0"/>
        </w:sectPr>
      </w:pP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Net</w:t>
            </w:r>
          </w:p>
        </w:tc>
        <w:tc>
          <w:tcPr>
            <w:tcW w:w="1180" w:type="dxa"/>
            <w:vAlign w:val="bottom"/>
          </w:tcPr>
          <w:p>
            <w:pPr>
              <w:spacing w:after="0"/>
              <w:rPr>
                <w:sz w:val="17"/>
                <w:szCs w:val="17"/>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Purchase</w:t>
            </w:r>
          </w:p>
        </w:tc>
        <w:tc>
          <w:tcPr>
            <w:tcW w:w="8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Intangible</w:t>
            </w:r>
          </w:p>
        </w:tc>
        <w:tc>
          <w:tcPr>
            <w:tcW w:w="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Tangible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Reportable</w:t>
            </w:r>
          </w:p>
        </w:tc>
      </w:tr>
      <w:tr>
        <w:trPr>
          <w:trHeight w:val="213"/>
        </w:trPr>
        <w:tc>
          <w:tcPr>
            <w:tcW w:w="19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8"/>
                <w:szCs w:val="18"/>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3"/>
              </w:rPr>
              <w:t>Assets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r>
      <w:tr>
        <w:trPr>
          <w:trHeight w:val="189"/>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D-Stake Mill and</w:t>
            </w:r>
          </w:p>
        </w:tc>
        <w:tc>
          <w:tcPr>
            <w:tcW w:w="80" w:type="dxa"/>
            <w:vAlign w:val="bottom"/>
          </w:tcPr>
          <w:p>
            <w:pPr>
              <w:spacing w:after="0"/>
              <w:rPr>
                <w:sz w:val="16"/>
                <w:szCs w:val="16"/>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June 9, 2008</w:t>
            </w: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$7.1 (asset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6"/>
              </w:rPr>
              <w:t>Western Division</w:t>
            </w:r>
          </w:p>
        </w:tc>
      </w:tr>
      <w:tr>
        <w:trPr>
          <w:trHeight w:val="203"/>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Manufacturing Country</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purchase)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(“D-Stake”)</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4"/>
        </w:trPr>
        <w:tc>
          <w:tcPr>
            <w:tcW w:w="19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10"/>
        </w:trPr>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-1800225</wp:posOffset>
            </wp:positionV>
            <wp:extent cx="5925820" cy="1800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25820" cy="180086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3"/>
        </w:trPr>
        <w:tc>
          <w:tcPr>
            <w:tcW w:w="3100" w:type="dxa"/>
            <w:vAlign w:val="bottom"/>
          </w:tcPr>
          <w:p>
            <w:pPr>
              <w:spacing w:after="0"/>
              <w:rPr>
                <w:sz w:val="20"/>
                <w:szCs w:val="20"/>
                <w:color w:val="auto"/>
              </w:rPr>
            </w:pPr>
            <w:r>
              <w:rPr>
                <w:rFonts w:ascii="Arial" w:cs="Arial" w:eastAsia="Arial" w:hAnsi="Arial"/>
                <w:sz w:val="16"/>
                <w:szCs w:val="16"/>
                <w:color w:val="auto"/>
              </w:rPr>
              <w:t>Shawnlee Construction, LLC  April 1, 2008</w:t>
            </w:r>
          </w:p>
        </w:tc>
        <w:tc>
          <w:tcPr>
            <w:tcW w:w="1100" w:type="dxa"/>
            <w:vAlign w:val="bottom"/>
          </w:tcPr>
          <w:p>
            <w:pPr>
              <w:ind w:left="220"/>
              <w:spacing w:after="0"/>
              <w:rPr>
                <w:sz w:val="20"/>
                <w:szCs w:val="20"/>
                <w:color w:val="auto"/>
              </w:rPr>
            </w:pPr>
            <w:r>
              <w:rPr>
                <w:rFonts w:ascii="Arial" w:cs="Arial" w:eastAsia="Arial" w:hAnsi="Arial"/>
                <w:sz w:val="16"/>
                <w:szCs w:val="16"/>
                <w:color w:val="auto"/>
              </w:rPr>
              <w:t>$1.8 (asset</w:t>
            </w:r>
          </w:p>
        </w:tc>
        <w:tc>
          <w:tcPr>
            <w:tcW w:w="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Pr>
          <w:p>
            <w:pPr>
              <w:ind w:left="160"/>
              <w:spacing w:after="0"/>
              <w:rPr>
                <w:sz w:val="20"/>
                <w:szCs w:val="20"/>
                <w:color w:val="auto"/>
              </w:rPr>
            </w:pPr>
            <w:r>
              <w:rPr>
                <w:rFonts w:ascii="Arial" w:cs="Arial" w:eastAsia="Arial" w:hAnsi="Arial"/>
                <w:sz w:val="16"/>
                <w:szCs w:val="16"/>
                <w:color w:val="auto"/>
                <w:w w:val="94"/>
              </w:rPr>
              <w:t>0.8 Eastern Division</w:t>
            </w: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(“Shawnlee”)</w:t>
            </w:r>
          </w:p>
        </w:tc>
        <w:tc>
          <w:tcPr>
            <w:tcW w:w="1100" w:type="dxa"/>
            <w:vAlign w:val="bottom"/>
          </w:tcPr>
          <w:p>
            <w:pPr>
              <w:ind w:left="220"/>
              <w:spacing w:after="0"/>
              <w:rPr>
                <w:sz w:val="20"/>
                <w:szCs w:val="20"/>
                <w:color w:val="auto"/>
              </w:rPr>
            </w:pPr>
            <w:r>
              <w:rPr>
                <w:rFonts w:ascii="Arial" w:cs="Arial" w:eastAsia="Arial" w:hAnsi="Arial"/>
                <w:sz w:val="16"/>
                <w:szCs w:val="16"/>
                <w:color w:val="auto"/>
              </w:rPr>
              <w:t>purchase)</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6"/>
                <w:szCs w:val="16"/>
                <w:color w:val="auto"/>
              </w:rPr>
              <w:t>Romano Construction</w:t>
            </w:r>
          </w:p>
        </w:tc>
        <w:tc>
          <w:tcPr>
            <w:tcW w:w="1300" w:type="dxa"/>
            <w:vAlign w:val="bottom"/>
          </w:tcPr>
          <w:p>
            <w:pPr>
              <w:ind w:left="120"/>
              <w:spacing w:after="0"/>
              <w:rPr>
                <w:sz w:val="20"/>
                <w:szCs w:val="20"/>
                <w:color w:val="auto"/>
              </w:rPr>
            </w:pPr>
            <w:r>
              <w:rPr>
                <w:rFonts w:ascii="Arial" w:cs="Arial" w:eastAsia="Arial" w:hAnsi="Arial"/>
                <w:sz w:val="16"/>
                <w:szCs w:val="16"/>
                <w:color w:val="auto"/>
              </w:rPr>
              <w:t>March 15, 2008</w:t>
            </w:r>
          </w:p>
        </w:tc>
        <w:tc>
          <w:tcPr>
            <w:tcW w:w="1020" w:type="dxa"/>
            <w:vAlign w:val="bottom"/>
          </w:tcPr>
          <w:p>
            <w:pPr>
              <w:ind w:left="140"/>
              <w:spacing w:after="0"/>
              <w:rPr>
                <w:sz w:val="20"/>
                <w:szCs w:val="20"/>
                <w:color w:val="auto"/>
              </w:rPr>
            </w:pPr>
            <w:r>
              <w:rPr>
                <w:rFonts w:ascii="Arial" w:cs="Arial" w:eastAsia="Arial" w:hAnsi="Arial"/>
                <w:sz w:val="16"/>
                <w:szCs w:val="16"/>
                <w:color w:val="auto"/>
              </w:rPr>
              <w:t>$0.4 (asset</w:t>
            </w:r>
          </w:p>
        </w:tc>
        <w:tc>
          <w:tcPr>
            <w:tcW w:w="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Pr>
          <w:p>
            <w:pPr>
              <w:ind w:left="160"/>
              <w:spacing w:after="0"/>
              <w:rPr>
                <w:sz w:val="20"/>
                <w:szCs w:val="20"/>
                <w:color w:val="auto"/>
              </w:rPr>
            </w:pPr>
            <w:r>
              <w:rPr>
                <w:rFonts w:ascii="Arial" w:cs="Arial" w:eastAsia="Arial" w:hAnsi="Arial"/>
                <w:sz w:val="16"/>
                <w:szCs w:val="16"/>
                <w:color w:val="auto"/>
                <w:w w:val="94"/>
              </w:rPr>
              <w:t>0.2 Eastern Division</w:t>
            </w:r>
          </w:p>
        </w:tc>
      </w:tr>
      <w:tr>
        <w:trPr>
          <w:trHeight w:val="206"/>
        </w:trPr>
        <w:tc>
          <w:tcPr>
            <w:tcW w:w="1880" w:type="dxa"/>
            <w:vAlign w:val="bottom"/>
          </w:tcPr>
          <w:p>
            <w:pPr>
              <w:spacing w:after="0"/>
              <w:rPr>
                <w:sz w:val="20"/>
                <w:szCs w:val="20"/>
                <w:color w:val="auto"/>
              </w:rPr>
            </w:pPr>
            <w:r>
              <w:rPr>
                <w:rFonts w:ascii="Arial" w:cs="Arial" w:eastAsia="Arial" w:hAnsi="Arial"/>
                <w:sz w:val="16"/>
                <w:szCs w:val="16"/>
                <w:color w:val="auto"/>
              </w:rPr>
              <w:t>Company, Ltd. (“Romano”</w:t>
            </w:r>
          </w:p>
        </w:tc>
        <w:tc>
          <w:tcPr>
            <w:tcW w:w="1300" w:type="dxa"/>
            <w:vAlign w:val="bottom"/>
          </w:tcPr>
          <w:p>
            <w:pPr>
              <w:spacing w:after="0"/>
              <w:rPr>
                <w:sz w:val="17"/>
                <w:szCs w:val="17"/>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purchase)</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-252730</wp:posOffset>
            </wp:positionV>
            <wp:extent cx="5925820" cy="771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258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International Wood</w:t>
            </w:r>
          </w:p>
        </w:tc>
        <w:tc>
          <w:tcPr>
            <w:tcW w:w="1460" w:type="dxa"/>
            <w:vAlign w:val="bottom"/>
          </w:tcPr>
          <w:p>
            <w:pPr>
              <w:ind w:left="240"/>
              <w:spacing w:after="0"/>
              <w:rPr>
                <w:sz w:val="20"/>
                <w:szCs w:val="20"/>
                <w:color w:val="auto"/>
              </w:rPr>
            </w:pPr>
            <w:r>
              <w:rPr>
                <w:rFonts w:ascii="Arial" w:cs="Arial" w:eastAsia="Arial" w:hAnsi="Arial"/>
                <w:sz w:val="16"/>
                <w:szCs w:val="16"/>
                <w:color w:val="auto"/>
                <w:w w:val="98"/>
              </w:rPr>
              <w:t>February 4, 2008</w:t>
            </w:r>
          </w:p>
        </w:tc>
        <w:tc>
          <w:tcPr>
            <w:tcW w:w="1420" w:type="dxa"/>
            <w:vAlign w:val="bottom"/>
          </w:tcPr>
          <w:p>
            <w:pPr>
              <w:ind w:left="100"/>
              <w:spacing w:after="0"/>
              <w:rPr>
                <w:sz w:val="20"/>
                <w:szCs w:val="20"/>
                <w:color w:val="auto"/>
              </w:rPr>
            </w:pPr>
            <w:r>
              <w:rPr>
                <w:rFonts w:ascii="Arial" w:cs="Arial" w:eastAsia="Arial" w:hAnsi="Arial"/>
                <w:sz w:val="16"/>
                <w:szCs w:val="16"/>
                <w:color w:val="auto"/>
              </w:rPr>
              <w:t>$14.0 (stock   $</w:t>
            </w: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ind w:left="160"/>
              <w:spacing w:after="0"/>
              <w:rPr>
                <w:sz w:val="20"/>
                <w:szCs w:val="20"/>
                <w:color w:val="auto"/>
              </w:rPr>
            </w:pPr>
            <w:r>
              <w:rPr>
                <w:rFonts w:ascii="Arial" w:cs="Arial" w:eastAsia="Arial" w:hAnsi="Arial"/>
                <w:sz w:val="16"/>
                <w:szCs w:val="16"/>
                <w:color w:val="auto"/>
                <w:w w:val="94"/>
              </w:rPr>
              <w:t>3.4 Western Division</w:t>
            </w: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Industries, Inc. (“IWI”)</w:t>
            </w:r>
          </w:p>
        </w:tc>
        <w:tc>
          <w:tcPr>
            <w:tcW w:w="146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Arial" w:cs="Arial" w:eastAsia="Arial" w:hAnsi="Arial"/>
                <w:sz w:val="16"/>
                <w:szCs w:val="16"/>
                <w:color w:val="auto"/>
              </w:rPr>
              <w:t>purchase)</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Business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252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6" w:lineRule="exact"/>
        <w:rPr>
          <w:sz w:val="20"/>
          <w:szCs w:val="20"/>
          <w:color w:val="auto"/>
        </w:rPr>
      </w:pPr>
    </w:p>
    <w:p>
      <w:pPr>
        <w:jc w:val="both"/>
        <w:ind w:right="559"/>
        <w:spacing w:after="0" w:line="303" w:lineRule="auto"/>
        <w:rPr>
          <w:sz w:val="20"/>
          <w:szCs w:val="20"/>
          <w:color w:val="auto"/>
        </w:rPr>
      </w:pPr>
      <w:r>
        <w:rPr>
          <w:rFonts w:ascii="Arial" w:cs="Arial" w:eastAsia="Arial" w:hAnsi="Arial"/>
          <w:sz w:val="14"/>
          <w:szCs w:val="14"/>
          <w:color w:val="auto"/>
        </w:rPr>
        <w:t>Manufactures kiln stickers, lath, stakes, decking, and pallets and pallet components for a variety of industries</w:t>
      </w:r>
    </w:p>
    <w:p>
      <w:pPr>
        <w:spacing w:after="0" w:line="1" w:lineRule="exact"/>
        <w:rPr>
          <w:sz w:val="20"/>
          <w:szCs w:val="20"/>
          <w:color w:val="auto"/>
        </w:rPr>
      </w:pPr>
    </w:p>
    <w:p>
      <w:pPr>
        <w:jc w:val="both"/>
        <w:ind w:right="559"/>
        <w:spacing w:after="0" w:line="290" w:lineRule="auto"/>
        <w:rPr>
          <w:sz w:val="20"/>
          <w:szCs w:val="20"/>
          <w:color w:val="auto"/>
        </w:rPr>
      </w:pPr>
      <w:r>
        <w:rPr>
          <w:rFonts w:ascii="Arial" w:cs="Arial" w:eastAsia="Arial" w:hAnsi="Arial"/>
          <w:sz w:val="15"/>
          <w:szCs w:val="15"/>
          <w:color w:val="auto"/>
        </w:rPr>
        <w:t>including manufacturing, retail and agriculture. Plants are located in McMinnville, OR and Independence, OR. Combined 2007 sales were $18.5 million.</w:t>
      </w:r>
    </w:p>
    <w:p>
      <w:pPr>
        <w:spacing w:after="0" w:line="164" w:lineRule="exact"/>
        <w:rPr>
          <w:sz w:val="20"/>
          <w:szCs w:val="20"/>
          <w:color w:val="auto"/>
        </w:rPr>
      </w:pPr>
    </w:p>
    <w:p>
      <w:pPr>
        <w:ind w:right="559"/>
        <w:spacing w:after="0" w:line="282" w:lineRule="auto"/>
        <w:rPr>
          <w:sz w:val="20"/>
          <w:szCs w:val="20"/>
          <w:color w:val="auto"/>
        </w:rPr>
      </w:pPr>
      <w:r>
        <w:rPr>
          <w:rFonts w:ascii="Arial" w:cs="Arial" w:eastAsia="Arial" w:hAnsi="Arial"/>
          <w:sz w:val="15"/>
          <w:szCs w:val="15"/>
          <w:color w:val="auto"/>
        </w:rPr>
        <w:t>Purchased 100% of the inventory, property, plant and equipment, and intangibles Provides framing services for multi-family construction in the northeast. Located in Plainville, MA. We currently own a 90% membership interest and have purchased and additional 5% interest each year.</w:t>
      </w:r>
    </w:p>
    <w:p>
      <w:pPr>
        <w:spacing w:after="0" w:line="3" w:lineRule="exact"/>
        <w:rPr>
          <w:sz w:val="20"/>
          <w:szCs w:val="20"/>
          <w:color w:val="auto"/>
        </w:rPr>
      </w:pPr>
    </w:p>
    <w:p>
      <w:pPr>
        <w:jc w:val="both"/>
        <w:ind w:right="559"/>
        <w:spacing w:after="0" w:line="363" w:lineRule="auto"/>
        <w:rPr>
          <w:sz w:val="20"/>
          <w:szCs w:val="20"/>
          <w:color w:val="auto"/>
        </w:rPr>
      </w:pPr>
      <w:r>
        <w:rPr>
          <w:rFonts w:ascii="Arial" w:cs="Arial" w:eastAsia="Arial" w:hAnsi="Arial"/>
          <w:sz w:val="14"/>
          <w:szCs w:val="14"/>
          <w:color w:val="auto"/>
        </w:rPr>
        <w:t>Provides framing services and is located in Middletown, NY.</w:t>
      </w:r>
    </w:p>
    <w:p>
      <w:pPr>
        <w:spacing w:after="0" w:line="117" w:lineRule="exact"/>
        <w:rPr>
          <w:sz w:val="20"/>
          <w:szCs w:val="20"/>
          <w:color w:val="auto"/>
        </w:rPr>
      </w:pPr>
    </w:p>
    <w:p>
      <w:pPr>
        <w:spacing w:after="0"/>
        <w:tabs>
          <w:tab w:leader="none" w:pos="840" w:val="left"/>
          <w:tab w:leader="none" w:pos="1420" w:val="left"/>
          <w:tab w:leader="none" w:pos="1740" w:val="left"/>
        </w:tabs>
        <w:rPr>
          <w:sz w:val="20"/>
          <w:szCs w:val="20"/>
          <w:color w:val="auto"/>
        </w:rPr>
      </w:pPr>
      <w:r>
        <w:rPr>
          <w:rFonts w:ascii="Arial" w:cs="Arial" w:eastAsia="Arial" w:hAnsi="Arial"/>
          <w:sz w:val="16"/>
          <w:szCs w:val="16"/>
          <w:color w:val="auto"/>
        </w:rPr>
        <w:t>Purchased</w:t>
        <w:tab/>
        <w:t>100%</w:t>
        <w:tab/>
        <w:t>of</w:t>
      </w:r>
      <w:r>
        <w:rPr>
          <w:sz w:val="20"/>
          <w:szCs w:val="20"/>
          <w:color w:val="auto"/>
        </w:rPr>
        <w:tab/>
      </w:r>
      <w:r>
        <w:rPr>
          <w:rFonts w:ascii="Arial" w:cs="Arial" w:eastAsia="Arial" w:hAnsi="Arial"/>
          <w:sz w:val="14"/>
          <w:szCs w:val="14"/>
          <w:color w:val="auto"/>
        </w:rPr>
        <w:t>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intangibles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Manufactures and distributes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industrial products, including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specialty boxes, crates, pallets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and skids. Headquartered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Turlock, CA with distribution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sites in Hawaii and Alaska.</w:t>
      </w:r>
    </w:p>
    <w:p>
      <w:pPr>
        <w:spacing w:after="0" w:line="19" w:lineRule="exact"/>
        <w:rPr>
          <w:sz w:val="20"/>
          <w:szCs w:val="20"/>
          <w:color w:val="auto"/>
        </w:rPr>
      </w:pPr>
    </w:p>
    <w:p>
      <w:pPr>
        <w:ind w:right="559"/>
        <w:spacing w:after="0" w:line="288" w:lineRule="auto"/>
        <w:rPr>
          <w:sz w:val="20"/>
          <w:szCs w:val="20"/>
          <w:color w:val="auto"/>
        </w:rPr>
      </w:pPr>
      <w:r>
        <w:rPr>
          <w:rFonts w:ascii="Arial" w:cs="Arial" w:eastAsia="Arial" w:hAnsi="Arial"/>
          <w:sz w:val="16"/>
          <w:szCs w:val="16"/>
          <w:color w:val="auto"/>
        </w:rPr>
        <w:t>2007 sales were $40.0 million.</w:t>
      </w:r>
    </w:p>
    <w:p>
      <w:pPr>
        <w:spacing w:after="0" w:line="162" w:lineRule="exact"/>
        <w:rPr>
          <w:sz w:val="20"/>
          <w:szCs w:val="20"/>
          <w:color w:val="auto"/>
        </w:rPr>
      </w:pPr>
    </w:p>
    <w:p>
      <w:pPr>
        <w:sectPr>
          <w:pgSz w:w="11900" w:h="16838" w:orient="portrait"/>
          <w:cols w:equalWidth="0" w:num="2">
            <w:col w:w="7400" w:space="300"/>
            <w:col w:w="2519"/>
          </w:cols>
          <w:pgMar w:left="240" w:top="419" w:right="1440" w:bottom="1440" w:gutter="0" w:footer="0" w:header="0"/>
          <w:type w:val="continuous"/>
        </w:sectPr>
      </w:pPr>
    </w:p>
    <w:p>
      <w:pPr>
        <w:ind w:left="7700"/>
        <w:spacing w:after="0"/>
        <w:tabs>
          <w:tab w:leader="none" w:pos="8600" w:val="left"/>
          <w:tab w:leader="none" w:pos="9240" w:val="left"/>
        </w:tabs>
        <w:rPr>
          <w:sz w:val="20"/>
          <w:szCs w:val="20"/>
          <w:color w:val="auto"/>
        </w:rPr>
      </w:pPr>
      <w:r>
        <w:rPr>
          <w:rFonts w:ascii="Arial" w:cs="Arial" w:eastAsia="Arial" w:hAnsi="Arial"/>
          <w:sz w:val="16"/>
          <w:szCs w:val="16"/>
          <w:color w:val="auto"/>
        </w:rPr>
        <w:t>Purchased</w:t>
      </w:r>
      <w:r>
        <w:rPr>
          <w:sz w:val="20"/>
          <w:szCs w:val="20"/>
          <w:color w:val="auto"/>
        </w:rPr>
        <w:tab/>
      </w:r>
      <w:r>
        <w:rPr>
          <w:rFonts w:ascii="Arial" w:cs="Arial" w:eastAsia="Arial" w:hAnsi="Arial"/>
          <w:sz w:val="16"/>
          <w:szCs w:val="16"/>
          <w:color w:val="auto"/>
        </w:rPr>
        <w:t>100%</w:t>
      </w:r>
      <w:r>
        <w:rPr>
          <w:sz w:val="20"/>
          <w:szCs w:val="20"/>
          <w:color w:val="auto"/>
        </w:rPr>
        <w:tab/>
      </w:r>
      <w:r>
        <w:rPr>
          <w:rFonts w:ascii="Arial" w:cs="Arial" w:eastAsia="Arial" w:hAnsi="Arial"/>
          <w:sz w:val="14"/>
          <w:szCs w:val="14"/>
          <w:color w:val="auto"/>
        </w:rPr>
        <w:t>voting</w:t>
      </w:r>
    </w:p>
    <w:p>
      <w:pPr>
        <w:spacing w:after="0" w:line="22"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interest</w:t>
      </w:r>
    </w:p>
    <w:p>
      <w:pPr>
        <w:spacing w:after="0" w:line="186"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The purchase price allocation for D-Stake is preliminary and will be revised as final estimates of intangible asset values are made. The purchase price allocation for IWI was finalized during the period. The amounts assigned to major intangible classes for business combinations mentioned above are as follows (in millions):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Goodwill –</w:t>
            </w:r>
          </w:p>
        </w:tc>
      </w:tr>
      <w:tr>
        <w:trPr>
          <w:trHeight w:val="216"/>
        </w:trPr>
        <w:tc>
          <w:tcPr>
            <w:tcW w:w="43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Non-compete</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Customer</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Goodwill –</w:t>
            </w:r>
          </w:p>
        </w:tc>
        <w:tc>
          <w:tcPr>
            <w:tcW w:w="20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Tax</w:t>
            </w:r>
          </w:p>
        </w:tc>
      </w:tr>
      <w:tr>
        <w:trPr>
          <w:trHeight w:val="230"/>
        </w:trPr>
        <w:tc>
          <w:tcPr>
            <w:tcW w:w="43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2"/>
              </w:rPr>
              <w:t>agreements</w:t>
            </w:r>
          </w:p>
        </w:tc>
        <w:tc>
          <w:tcPr>
            <w:tcW w:w="3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Relationships</w:t>
            </w:r>
          </w:p>
        </w:tc>
        <w:tc>
          <w:tcPr>
            <w:tcW w:w="2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Deductible</w:t>
            </w:r>
          </w:p>
        </w:tc>
      </w:tr>
      <w:tr>
        <w:trPr>
          <w:trHeight w:val="20"/>
        </w:trPr>
        <w:tc>
          <w:tcPr>
            <w:tcW w:w="4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D-Stake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Shawnlee</w:t>
            </w:r>
          </w:p>
        </w:tc>
        <w:tc>
          <w:tcPr>
            <w:tcW w:w="4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type w:val="continuous"/>
        </w:sect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purchase price allocation for IWI was finalized during the period as follows (in millions).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Goodwill –</w:t>
            </w:r>
          </w:p>
        </w:tc>
      </w:tr>
      <w:tr>
        <w:trPr>
          <w:trHeight w:val="216"/>
        </w:trPr>
        <w:tc>
          <w:tcPr>
            <w:tcW w:w="44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Non-compete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Customer</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Goodwill –</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Tax</w:t>
            </w:r>
          </w:p>
        </w:tc>
      </w:tr>
      <w:tr>
        <w:trPr>
          <w:trHeight w:val="230"/>
        </w:trPr>
        <w:tc>
          <w:tcPr>
            <w:tcW w:w="44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agreements</w:t>
            </w:r>
          </w:p>
        </w:tc>
        <w:tc>
          <w:tcPr>
            <w:tcW w:w="3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Relationships</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Deductible</w:t>
            </w:r>
          </w:p>
        </w:tc>
      </w:tr>
      <w:tr>
        <w:trPr>
          <w:trHeight w:val="20"/>
        </w:trPr>
        <w:tc>
          <w:tcPr>
            <w:tcW w:w="4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IWI — preliminary</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Final purchase price allocations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IWI — final</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126"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sz w:val="20"/>
          <w:szCs w:val="20"/>
          <w:color w:val="auto"/>
        </w:rPr>
      </w:pPr>
    </w:p>
    <w:p>
      <w:pPr>
        <w:jc w:val="both"/>
        <w:ind w:left="700" w:right="559"/>
        <w:spacing w:after="0" w:line="286" w:lineRule="auto"/>
        <w:rPr>
          <w:sz w:val="20"/>
          <w:szCs w:val="20"/>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5" w:lineRule="exact"/>
        <w:rPr>
          <w:sz w:val="20"/>
          <w:szCs w:val="20"/>
          <w:color w:val="auto"/>
        </w:rPr>
      </w:pPr>
    </w:p>
    <w:p>
      <w:pPr>
        <w:jc w:val="both"/>
        <w:ind w:left="700" w:right="559"/>
        <w:spacing w:after="0" w:line="255" w:lineRule="auto"/>
        <w:rPr>
          <w:sz w:val="20"/>
          <w:szCs w:val="20"/>
          <w:color w:val="auto"/>
        </w:rPr>
      </w:pPr>
      <w:r>
        <w:rPr>
          <w:rFonts w:ascii="Arial" w:cs="Arial" w:eastAsia="Arial" w:hAnsi="Arial"/>
          <w:sz w:val="18"/>
          <w:szCs w:val="18"/>
          <w:color w:val="auto"/>
        </w:rPr>
        <w:t>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is included in the “All Other” column in the table below. Our divisions operate manufacturing and treating facilities throughout North America. A summary of results for the first three months of 2009 and 2008 are presented below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7"/>
              </w:rPr>
              <w:t>March 28, 2009</w:t>
            </w: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4"/>
              </w:rPr>
              <w:t>March 29, 2008</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900" w:type="dxa"/>
            <w:vAlign w:val="bottom"/>
          </w:tcPr>
          <w:p>
            <w:pPr>
              <w:spacing w:after="0"/>
              <w:rPr>
                <w:sz w:val="16"/>
                <w:szCs w:val="16"/>
                <w:color w:val="auto"/>
              </w:rPr>
            </w:pPr>
          </w:p>
        </w:tc>
        <w:tc>
          <w:tcPr>
            <w:tcW w:w="8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6"/>
              </w:rPr>
              <w:t>Eastern</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Eastern</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Western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Western</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All Other</w:t>
            </w:r>
          </w:p>
        </w:tc>
        <w:tc>
          <w:tcPr>
            <w:tcW w:w="380" w:type="dxa"/>
            <w:vAlign w:val="bottom"/>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All Other</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$ 341,877</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19,845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$ 361,722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$ 474,255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$ 15,257</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$ 489,512</w:t>
            </w: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6,052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6,052</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4,949</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(4,531)</w:t>
            </w:r>
          </w:p>
        </w:tc>
      </w:tr>
    </w:tbl>
    <w:p>
      <w:pPr>
        <w:spacing w:after="0" w:line="157"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color w:val="auto"/>
        </w:rPr>
        <w:t>On April 1, 2009, we purchased an additional 5% interest in Shawnlee Construction, LLC. The purchase price was approximately $1.8 million.</w:t>
      </w:r>
    </w:p>
    <w:p>
      <w:pPr>
        <w:spacing w:after="0" w:line="130" w:lineRule="exact"/>
        <w:rPr>
          <w:sz w:val="20"/>
          <w:szCs w:val="20"/>
          <w:color w:val="auto"/>
        </w:rPr>
      </w:pPr>
    </w:p>
    <w:p>
      <w:pPr>
        <w:ind w:left="700" w:right="559"/>
        <w:spacing w:after="0" w:line="342" w:lineRule="auto"/>
        <w:rPr>
          <w:sz w:val="20"/>
          <w:szCs w:val="20"/>
          <w:color w:val="auto"/>
        </w:rPr>
      </w:pPr>
      <w:r>
        <w:rPr>
          <w:rFonts w:ascii="Arial" w:cs="Arial" w:eastAsia="Arial" w:hAnsi="Arial"/>
          <w:sz w:val="16"/>
          <w:szCs w:val="16"/>
          <w:color w:val="auto"/>
        </w:rPr>
        <w:t>On April 17, 2009, we announced a semi-annual dividend of $0.06 per share, payable June 15, 2009 to the shareholders of record on June 1, 2009. The dividend was approved by our Board of Directors at their April 15, 2009 meeting.</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2008.</w:t>
      </w:r>
    </w:p>
    <w:p>
      <w:pPr>
        <w:spacing w:after="0" w:line="122" w:lineRule="exact"/>
        <w:rPr>
          <w:sz w:val="20"/>
          <w:szCs w:val="20"/>
          <w:color w:val="auto"/>
        </w:rPr>
      </w:pPr>
    </w:p>
    <w:p>
      <w:pPr>
        <w:jc w:val="right"/>
        <w:ind w:right="4719"/>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right"/>
        <w:ind w:right="4699"/>
        <w:spacing w:after="0"/>
        <w:rPr>
          <w:sz w:val="20"/>
          <w:szCs w:val="20"/>
          <w:color w:val="auto"/>
        </w:rPr>
      </w:pPr>
      <w:r>
        <w:rPr>
          <w:rFonts w:ascii="Arial" w:cs="Arial" w:eastAsia="Arial" w:hAnsi="Arial"/>
          <w:sz w:val="17"/>
          <w:szCs w:val="17"/>
          <w:color w:val="auto"/>
        </w:rPr>
        <w:t>Our results for the first quarter of 2009 were impacted by the following:</w:t>
      </w:r>
    </w:p>
    <w:p>
      <w:pPr>
        <w:spacing w:after="0" w:line="210" w:lineRule="exact"/>
        <w:rPr>
          <w:sz w:val="20"/>
          <w:szCs w:val="20"/>
          <w:color w:val="auto"/>
        </w:rPr>
      </w:pPr>
    </w:p>
    <w:p>
      <w:pPr>
        <w:ind w:left="680" w:right="559" w:hanging="348"/>
        <w:spacing w:after="0" w:line="308"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We experienced sales decreases in all of our markets, nonetheless, we believe we have gained additional share in each of the markets we serve, except manufactured housing. We have been able to maintain our share of this market.</w:t>
      </w:r>
    </w:p>
    <w:p>
      <w:pPr>
        <w:spacing w:after="0" w:line="106"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overall unit sales decreased 23%, as sales out of existing facilities and operations we closed decreased by 24% this quarter and we experienced a 1% increase in unit sales as a result of acquisitions.</w:t>
      </w:r>
    </w:p>
    <w:p>
      <w:pPr>
        <w:spacing w:after="0" w:line="129" w:lineRule="exact"/>
        <w:rPr>
          <w:rFonts w:ascii="Arial" w:cs="Arial" w:eastAsia="Arial" w:hAnsi="Arial"/>
          <w:sz w:val="18"/>
          <w:szCs w:val="18"/>
          <w:b w:val="1"/>
          <w:bCs w:val="1"/>
          <w:color w:val="auto"/>
        </w:rPr>
      </w:pPr>
    </w:p>
    <w:p>
      <w:pPr>
        <w:jc w:val="both"/>
        <w:ind w:left="680" w:right="559" w:hanging="348"/>
        <w:spacing w:after="0" w:line="259"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Single-family housing starts decreased approximately 53% in January and February of 2009 compared to 2008 as a result of an excess supply of homes, tight credit conditions, and an increase in foreclosures. In addition multi-family and commercial construction has decreased approximately 50% and 23%, respectively, in January and February 2009 compared to the same period of 2008.</w:t>
      </w:r>
    </w:p>
    <w:p>
      <w:pPr>
        <w:spacing w:after="0" w:line="159" w:lineRule="exact"/>
        <w:rPr>
          <w:rFonts w:ascii="Arial" w:cs="Arial" w:eastAsia="Arial" w:hAnsi="Arial"/>
          <w:sz w:val="18"/>
          <w:szCs w:val="18"/>
          <w:b w:val="1"/>
          <w:bCs w:val="1"/>
          <w:color w:val="auto"/>
        </w:rPr>
      </w:pPr>
    </w:p>
    <w:p>
      <w:pPr>
        <w:jc w:val="both"/>
        <w:ind w:left="680" w:right="559" w:hanging="348"/>
        <w:spacing w:after="0" w:line="264"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Consumer spending for large repair/remodel projects has decreased due to general economic conditions, among other factors. The Consumer Confidence Index has fallen from 66 in March of 2008 to 26 in March of 2009, and the same store sales of “big box” home improvement retailers have declined at double-digit rates.</w:t>
      </w:r>
    </w:p>
    <w:p>
      <w:pPr>
        <w:spacing w:after="0" w:line="140" w:lineRule="exact"/>
        <w:rPr>
          <w:rFonts w:ascii="Arial" w:cs="Arial" w:eastAsia="Arial" w:hAnsi="Arial"/>
          <w:sz w:val="18"/>
          <w:szCs w:val="18"/>
          <w:b w:val="1"/>
          <w:bCs w:val="1"/>
          <w:color w:val="auto"/>
        </w:rPr>
      </w:pPr>
    </w:p>
    <w:p>
      <w:pPr>
        <w:ind w:left="680" w:right="559" w:hanging="348"/>
        <w:spacing w:after="0" w:line="308" w:lineRule="auto"/>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Shipments of HUD code manufactured homes were down 46% in January and February and industry sales of modular homes have also continued to decline due, in part, to an excess supply of site-built homes and tight credit conditions.</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industrial market is declining due to the general weakening of the U.S. economy. We gained additional share of this market due, in part, to acquisitions and adding new concrete forming business.</w:t>
      </w:r>
    </w:p>
    <w:p>
      <w:pPr>
        <w:spacing w:after="0" w:line="129"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gross margin increased to 12.9% from 11.2% in 2008 primarily due to our improvement in labor costs as a percentage of net sales as a result of plant consolidation and right-sizing efforts in 2008.</w:t>
      </w:r>
    </w:p>
    <w:p>
      <w:pPr>
        <w:spacing w:after="0" w:line="129"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SG&amp;A expenses are down approximately $9.5 million, or 16%, from the first quarter of 2008, due to our right-sizing efforts and plant consolidation actions we took last year.</w:t>
      </w:r>
    </w:p>
    <w:p>
      <w:pPr>
        <w:spacing w:after="0" w:line="143" w:lineRule="exact"/>
        <w:rPr>
          <w:rFonts w:ascii="Arial" w:cs="Arial" w:eastAsia="Arial" w:hAnsi="Arial"/>
          <w:sz w:val="18"/>
          <w:szCs w:val="18"/>
          <w:b w:val="1"/>
          <w:bCs w:val="1"/>
          <w:color w:val="auto"/>
        </w:rPr>
      </w:pPr>
    </w:p>
    <w:p>
      <w:pPr>
        <w:ind w:left="680" w:right="559" w:hanging="348"/>
        <w:spacing w:after="0" w:line="308" w:lineRule="auto"/>
        <w:tabs>
          <w:tab w:leader="none" w:pos="6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Our interest expense decreased by $2.5 million, or 70%, as our interest-bearing debt and sale of receivables program declined to $112 million at the end of March of 2009 compared to $245 million at the end of March of 2008.</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Outlook</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expect the current challenging conditions to prevail throughout 2009; however, our strong financial position, solid business model, diverse business opportunities and ability to adjust appropriately to our opportunities position us well to endure challenging times. We believe that current economic conditions and uncertainties limit our ability to provide meaningful guidance for ranges of likely financial performance; therefore, we will not provide annual sales or net earnings targets for the foreseeable future.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Route 2012</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Since we discussed our Growth &amp; Opportunity 2010 (“GO 2010”) goals in our annual report on form 10-K for the period ended December 30, 2006, industry and general economic conditions have significantly deteriorated. In addition, the Lumber Market has declined from an average of $388/mbf in 2005 to an average of $197/mbf in 2009; a 49% decline from when we first set our goals, which has adversely impacted our sales.</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place of our GO 2010 goals, we have a new four-year growth plan titled “Route 2012,” which includes goals to be achieved by the end of our fiscal year 2012 including:</w:t>
      </w:r>
    </w:p>
    <w:p>
      <w:pPr>
        <w:spacing w:after="0" w:line="143" w:lineRule="exact"/>
        <w:rPr>
          <w:sz w:val="20"/>
          <w:szCs w:val="20"/>
          <w:color w:val="auto"/>
        </w:rPr>
      </w:pPr>
    </w:p>
    <w:p>
      <w:pPr>
        <w:ind w:left="1040"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sales to $3 billion.</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productivity by 15%.</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Improve profitability by three hundred basis points through productivity improvements, cost reductions, and growth.</w:t>
      </w:r>
    </w:p>
    <w:p>
      <w:pPr>
        <w:spacing w:after="0" w:line="209"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receivables cycles in our industrial, site-built and manufactured housing markets by 10% by reducing the amount of our receivables that are paid past the agreed upon due date.</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Improve inventory turnover by 10%.</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HISTORICAL LUMBER PRICES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the Random Lengths framing lumber composite price for the three months ended March 28, 2009 and March 29, 2008:</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color w:val="auto"/>
                <w:w w:val="92"/>
              </w:rPr>
              <w:t>Random Lengths Composite</w:t>
            </w:r>
          </w:p>
        </w:tc>
      </w:tr>
      <w:tr>
        <w:trPr>
          <w:trHeight w:val="230"/>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8"/>
                <w:szCs w:val="18"/>
                <w:color w:val="auto"/>
              </w:rPr>
              <w:t>Average $/MBF</w:t>
            </w:r>
          </w:p>
        </w:tc>
      </w:tr>
      <w:tr>
        <w:trPr>
          <w:trHeight w:val="210"/>
        </w:trPr>
        <w:tc>
          <w:tcPr>
            <w:tcW w:w="6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February</w:t>
            </w: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First quarter average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2008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8"/>
                <w:szCs w:val="18"/>
                <w:color w:val="auto"/>
              </w:rPr>
              <w:t>Random Lengths SYP</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Average $/MBF</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680" w:type="dxa"/>
            <w:vAlign w:val="bottom"/>
            <w:shd w:val="clear" w:color="auto" w:fill="CCEEFF"/>
          </w:tcPr>
          <w:p>
            <w:pPr>
              <w:jc w:val="right"/>
              <w:ind w:right="51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328</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337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February</w:t>
            </w:r>
          </w:p>
        </w:tc>
        <w:tc>
          <w:tcPr>
            <w:tcW w:w="68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321</w:t>
            </w: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330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319</w:t>
            </w: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331</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First quarter average</w:t>
            </w:r>
          </w:p>
        </w:tc>
        <w:tc>
          <w:tcPr>
            <w:tcW w:w="680" w:type="dxa"/>
            <w:vAlign w:val="bottom"/>
          </w:tcPr>
          <w:p>
            <w:pPr>
              <w:jc w:val="right"/>
              <w:ind w:right="51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323</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333</w:t>
            </w:r>
          </w:p>
        </w:tc>
      </w:tr>
      <w:tr>
        <w:trPr>
          <w:trHeight w:val="216"/>
        </w:trPr>
        <w:tc>
          <w:tcPr>
            <w:tcW w:w="6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2008</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680" w:right="559" w:hanging="348"/>
        <w:spacing w:after="0" w:line="255"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21" w:lineRule="exact"/>
        <w:rPr>
          <w:rFonts w:ascii="Arial" w:cs="Arial" w:eastAsia="Arial" w:hAnsi="Arial"/>
          <w:sz w:val="18"/>
          <w:szCs w:val="18"/>
          <w:b w:val="1"/>
          <w:bCs w:val="1"/>
          <w:color w:val="auto"/>
        </w:rPr>
      </w:pPr>
    </w:p>
    <w:p>
      <w:pPr>
        <w:jc w:val="both"/>
        <w:ind w:left="680" w:right="559" w:hanging="348"/>
        <w:spacing w:after="0" w:line="297" w:lineRule="auto"/>
        <w:tabs>
          <w:tab w:leader="none" w:pos="68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680" w:right="559" w:hanging="348"/>
        <w:spacing w:after="0" w:line="272" w:lineRule="auto"/>
        <w:tabs>
          <w:tab w:leader="none" w:pos="680"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37"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We attempt to mitigate this risk through our purchasing practices by locking in costs.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340" w:right="1760"/>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Period 1</w:t>
            </w: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Period 2</w:t>
            </w:r>
          </w:p>
        </w:tc>
      </w:tr>
      <w:tr>
        <w:trPr>
          <w:trHeight w:val="210"/>
        </w:trPr>
        <w:tc>
          <w:tcPr>
            <w:tcW w:w="6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3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BUSINESS COMBINATIONS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H, “Business Combinations.”</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60" w:type="dxa"/>
            <w:vAlign w:val="bottom"/>
            <w:gridSpan w:val="4"/>
          </w:tcPr>
          <w:p>
            <w:pPr>
              <w:jc w:val="right"/>
              <w:ind w:right="400"/>
              <w:spacing w:after="0"/>
              <w:rPr>
                <w:sz w:val="20"/>
                <w:szCs w:val="20"/>
                <w:color w:val="auto"/>
              </w:rPr>
            </w:pPr>
            <w:r>
              <w:rPr>
                <w:rFonts w:ascii="Arial" w:cs="Arial" w:eastAsia="Arial" w:hAnsi="Arial"/>
                <w:sz w:val="18"/>
                <w:szCs w:val="18"/>
                <w:color w:val="auto"/>
                <w:w w:val="97"/>
              </w:rPr>
              <w:t>For the Three Months Ended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600"/>
              <w:spacing w:after="0" w:line="195" w:lineRule="exact"/>
              <w:rPr>
                <w:sz w:val="20"/>
                <w:szCs w:val="20"/>
                <w:color w:val="auto"/>
              </w:rPr>
            </w:pPr>
            <w:r>
              <w:rPr>
                <w:rFonts w:ascii="Arial" w:cs="Arial" w:eastAsia="Arial" w:hAnsi="Arial"/>
                <w:sz w:val="18"/>
                <w:szCs w:val="18"/>
                <w:color w:val="auto"/>
              </w:rPr>
              <w:t>March 28,</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March 29,</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87.1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13.5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disposition of assets and other impairment and exit charges</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vMerge w:val="restart"/>
          </w:tcPr>
          <w:p>
            <w:pPr>
              <w:spacing w:after="0"/>
              <w:rPr>
                <w:sz w:val="20"/>
                <w:szCs w:val="20"/>
                <w:color w:val="auto"/>
              </w:rPr>
            </w:pPr>
            <w:r>
              <w:rPr>
                <w:rFonts w:ascii="Arial" w:cs="Arial" w:eastAsia="Arial" w:hAnsi="Arial"/>
                <w:sz w:val="18"/>
                <w:szCs w:val="18"/>
                <w:color w:val="auto"/>
              </w:rPr>
              <w:t>Net loss attributable to controlling interest</w:t>
            </w: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vMerge w:val="restart"/>
          </w:tcPr>
          <w:p>
            <w:pPr>
              <w:ind w:left="4560"/>
              <w:spacing w:after="0"/>
              <w:rPr>
                <w:sz w:val="20"/>
                <w:szCs w:val="20"/>
                <w:color w:val="auto"/>
              </w:rPr>
            </w:pPr>
            <w:r>
              <w:rPr>
                <w:rFonts w:ascii="Arial" w:cs="Arial" w:eastAsia="Arial" w:hAnsi="Arial"/>
                <w:sz w:val="18"/>
                <w:szCs w:val="18"/>
                <w:color w:val="auto"/>
              </w:rPr>
              <w:t>20</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market, manufacture and engineer wood and wood-alternative products for the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long-term sales objectives include:</w:t>
      </w:r>
    </w:p>
    <w:p>
      <w:pPr>
        <w:spacing w:after="0" w:line="146" w:lineRule="exact"/>
        <w:rPr>
          <w:sz w:val="20"/>
          <w:szCs w:val="20"/>
          <w:color w:val="auto"/>
        </w:rPr>
      </w:pPr>
    </w:p>
    <w:p>
      <w:pPr>
        <w:jc w:val="both"/>
        <w:ind w:left="680" w:right="559" w:hanging="348"/>
        <w:spacing w:after="0" w:line="264"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concrete forms market, and increasing our sales of engineered wood components for custom home, multi-family and light commercial construction.</w:t>
      </w:r>
    </w:p>
    <w:p>
      <w:pPr>
        <w:spacing w:after="0" w:line="113"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680" w:right="559" w:hanging="348"/>
        <w:spacing w:after="0" w:line="255"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98"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7"/>
          </w:tcPr>
          <w:p>
            <w:pPr>
              <w:jc w:val="right"/>
              <w:ind w:right="820"/>
              <w:spacing w:after="0"/>
              <w:rPr>
                <w:sz w:val="20"/>
                <w:szCs w:val="20"/>
                <w:color w:val="auto"/>
              </w:rPr>
            </w:pPr>
            <w:r>
              <w:rPr>
                <w:rFonts w:ascii="Arial" w:cs="Arial" w:eastAsia="Arial" w:hAnsi="Arial"/>
                <w:sz w:val="18"/>
                <w:szCs w:val="18"/>
                <w:color w:val="auto"/>
              </w:rPr>
              <w:t>For the Three Months Ended</w:t>
            </w: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89"/>
              </w:rPr>
              <w:t>March 28,</w:t>
            </w:r>
          </w:p>
        </w:tc>
        <w:tc>
          <w:tcPr>
            <w:tcW w:w="94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9"/>
              </w:rPr>
              <w:t>March 29,</w:t>
            </w:r>
          </w:p>
        </w:tc>
        <w:tc>
          <w:tcPr>
            <w:tcW w:w="80" w:type="dxa"/>
            <w:vAlign w:val="bottom"/>
          </w:tcPr>
          <w:p>
            <w:pPr>
              <w:spacing w:after="0"/>
              <w:rPr>
                <w:sz w:val="16"/>
                <w:szCs w:val="16"/>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168,134</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175,460</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60,765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107,008</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103,658</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139,608</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36,550</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76,441</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498,517</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(7,385)</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(9,005)</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361,722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489,512</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20" w:right="559" w:hanging="485"/>
        <w:spacing w:after="0" w:line="277" w:lineRule="auto"/>
        <w:rPr>
          <w:sz w:val="20"/>
          <w:szCs w:val="20"/>
          <w:color w:val="auto"/>
        </w:rPr>
      </w:pPr>
      <w:r>
        <w:rPr>
          <w:rFonts w:ascii="Arial" w:cs="Arial" w:eastAsia="Arial" w:hAnsi="Arial"/>
          <w:sz w:val="18"/>
          <w:szCs w:val="18"/>
          <w:color w:val="auto"/>
        </w:rPr>
        <w:t>Note: In the first quarter of 2009, we reviewed the classification of our customers and made certain reclassifications. Prior year information has been restated to reflect these reclassifications.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Gross sales in the first quarter of 2009 decreased 26% compared to the first quarter of 2008. We estimate that our unit sales decreased by 23% and overall selling prices decreased by 3% comparing the two periods. We estimate that our unit sales increased 1% as a result of business acquisitions, while unit sales from existing and closed facilities decreased 24%. Our overall selling prices may fluctuate as a result of the Lumber Market (see “Historical Lumber Prices) and competitive factors.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Gross sales to the DIY/retail market decreased 4% in the first quarter of 2009 compared to 2008 primarily due to an estimated 1% decrease in overall unit sales and an estimated 3% decrease in overall selling prices due to the Lumber Market. We estimate that our unit sales increased 2% as a result of acquisitions, while unit sales from existing and closed facilities decreased 3%. Unit sales declined due to the impact of the housing market on our retail customers whose business is closely correlated with single-family housing starts and a decline in consumer spending as evidenced by double-digit declines in same store sales reported by our “big box” customers. We achieved market share gains in 2009 which offset most of the impact of these adverse market conditions.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Gross sales to the site-built construction market decreased 43% in the first quarter of 2009 compared to 2008 due to an estimated 35% decrease in unit sales out of existing plants and an estimated 8% decrease in our average selling prices primarily due to a soft Lumber Market. National single-family housing starts were off a reported 53% for January and February of 2009 compared to the same period of 2008. Multi-family and commercial construction activity declined approximately 50% and 23%, respectively, in January and February 2009 compared to the same period of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Gross sales to the industrial market decreased 26% in the first quarter of 2009 compared to the same period of 2008, due to a decrease in unit sales. We continue to experience a decline in sales to certain of our customers that supply the housing market or have been impacted by the weakening U.S. economy. We have been able to offset some of the impact of a decline in demand with market share gains and our continued penetration of the concrete forming market.</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to the manufactured housing market decreased 52% in the first quarter of 2009 compared to the same period of 2008, primarily due to an estimated 49% decrease in unit sales combined with an estimated 3% decrease in selling prices due to the Lumber Market. Our decline in unit sales was the result of an overall decline in industry production. The industry most recently reported a 46% decrease in HUD code shipments in January and February of 2009. Industry sales of modular homes have also continued to decline.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195"/>
        </w:trPr>
        <w:tc>
          <w:tcPr>
            <w:tcW w:w="67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2"/>
              </w:rPr>
              <w:t>March 28,</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March 29,</w:t>
            </w:r>
          </w:p>
        </w:tc>
        <w:tc>
          <w:tcPr>
            <w:tcW w:w="180" w:type="dxa"/>
            <w:vAlign w:val="bottom"/>
          </w:tcPr>
          <w:p>
            <w:pPr>
              <w:spacing w:after="0"/>
              <w:rPr>
                <w:sz w:val="16"/>
                <w:szCs w:val="16"/>
                <w:color w:val="auto"/>
              </w:rPr>
            </w:pPr>
          </w:p>
        </w:tc>
      </w:tr>
      <w:tr>
        <w:trPr>
          <w:trHeight w:val="230"/>
        </w:trPr>
        <w:tc>
          <w:tcPr>
            <w:tcW w:w="67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Commodity-Based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r>
    </w:tbl>
    <w:p>
      <w:pPr>
        <w:spacing w:after="0" w:line="14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Value-added sales decreased 26% in the first quarter of 2009 compared to 2008, primarily due to decreased sales of trusses, turn-key framing and installed sales, engineered wood products, and manufactured component lumber. Commodity-based sales decreased 25% comparing the first quarter of 2009 with the same period of 2008, primarily due to decreased sales of non-manufactured brite and other lumber and panels.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Our gross profit percentage increased to 12.9% from 11.2%. In addition, our gross profit dollars decreased by almost 15% comparing the first quarter of 2009 with the same period of 2008, which compares favorably with our 23% decrease in unit sales. Our improved gross margin is primarily due to:</w:t>
      </w:r>
    </w:p>
    <w:p>
      <w:pPr>
        <w:spacing w:after="0" w:line="141" w:lineRule="exact"/>
        <w:rPr>
          <w:sz w:val="20"/>
          <w:szCs w:val="20"/>
          <w:color w:val="auto"/>
        </w:rPr>
      </w:pPr>
    </w:p>
    <w:p>
      <w:pPr>
        <w:ind w:left="1040" w:right="559" w:hanging="343"/>
        <w:spacing w:after="0" w:line="277"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reduction in our labor costs as a percentage of net sales due to plant consolidation and right-sizing efforts previously taken</w:t>
      </w:r>
    </w:p>
    <w:p>
      <w:pPr>
        <w:spacing w:after="0" w:line="102"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reduction in our material costs as percentage of sales as a result of better inventory management to protect margins and a rebate received from a vendor</w:t>
      </w:r>
    </w:p>
    <w:p>
      <w:pPr>
        <w:spacing w:after="0" w:line="102"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efforts to rationalize business and receive price increases or turn down business that does not meet minimum margin requirements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Selling, general and administrative (“SG&amp;A”) expenses decreased by approximately $9.5 million, or 16.1%, in the first quarter of 2009 compared to the same period of 2008, while we reported a 23% decrease in unit sales. Existing operations decreased $6.5 million, operations we closed decreased $3.6 million, and business acquisitions added $0.6 million in SG&amp;A expenses. The decrease in SG&amp;A expenses at our existing operations was primarily due to a decline in wages and related costs due to a reduction in headcount and a decline in many other account categories as a result of efforts to control costs. These decreases were partially offset by an increase in bad debt expense and amortization expense associated with intangible assets we acquired in 2008. Our SG&amp;A expenses increased as a percentage of sales due to a combination of certain fixed costs (e.g. building rent, property insurance, and amortization expense) and bad debt expense.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(GAIN) LOSS ON DISPOSITION OF ASSETS AND OTHER IMPAIRMENT AND EXIT CHARGES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incurred $1.3 million of asset impairments and other costs associated with idled facilities and down-sizing efforts in the first quarter of 2009. These costs were offset by a $2.4 million gain on the sale of certain real estate. We believe these actions will improve our cost structure, profitability and cash flow in future reporting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interest costs were lower in the first quarter of 2009 compared to the same period of 2008 due to lower debt balances combined with a decrease in short-term interest rates upon which our variable rate debt is based.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increased to 45.3% in the first three months of 2009, compared to 43.2% in the first three months of 2008 primarily due to the timing of certain permanent tax differences.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480"/>
              <w:spacing w:after="0" w:line="195" w:lineRule="exact"/>
              <w:rPr>
                <w:sz w:val="20"/>
                <w:szCs w:val="20"/>
                <w:color w:val="auto"/>
              </w:rPr>
            </w:pPr>
            <w:r>
              <w:rPr>
                <w:rFonts w:ascii="Arial" w:cs="Arial" w:eastAsia="Arial" w:hAnsi="Arial"/>
                <w:sz w:val="18"/>
                <w:szCs w:val="18"/>
                <w:color w:val="auto"/>
                <w:w w:val="92"/>
              </w:rPr>
              <w:t>March 28,</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29,</w:t>
            </w:r>
          </w:p>
        </w:tc>
        <w:tc>
          <w:tcPr>
            <w:tcW w:w="10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(11,119)</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33,584</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and plan to manage our capital structure conservatively in light of current economic conditions.</w:t>
      </w:r>
    </w:p>
    <w:p>
      <w:pPr>
        <w:spacing w:after="0" w:line="15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March 29, 2008 balances in the accompanying unaudited consolidated condensed balance sheets.</w:t>
      </w:r>
    </w:p>
    <w:p>
      <w:pPr>
        <w:spacing w:after="0" w:line="148"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(excluding the impact of our sale of receivables program) increased to 61 days in the first three months of 2009 from 55 days in the first three months of 2008, due to a three day increase in our days supply of inventory, and a two day increase in our days of sales outstanding, and a one day decrease in our days of payables outstanding. The increase in our days supply of inventory was primarily due to a combination of lower than planned sales early in the quarter and inventory positions we have taken to protect margins on future business.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84"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Cash used in operating activities was approximately $18 million in the first three months of 2009. Our net loss of $1.2 million included $10.4 million of non-cash expenses and a $27.2 million increase in working capital. Working capital increased primarily due to an increase in accounts receivable as a result of 47% higher sales in March of 2009 compared to December of 2008. In the prior year, there was approximately $23 million of positive cash flow included in operating activities related to our sale of receivables program. Specifically, at the end of December 2007 and March 2008, we had approximately $27 million and $50 million of receivables sold and outstanding under this program. This program was terminated in September 2008.</w:t>
      </w:r>
    </w:p>
    <w:p>
      <w:pPr>
        <w:spacing w:after="0" w:line="12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have made the decision to limit our investing activities in 2009 and make debt repayment our first priority for use of our operating cash flows. As a result, we have curtailed our capital expenditures and currently plan to spend approximately $10 million in 2009, which includes outstanding purchase commitments on existing capital projects totaling approximately $1.5 million on March 28, 2009. We intend to fund capital expenditures and purchase commitments through our operating cash flows.</w:t>
      </w:r>
    </w:p>
    <w:p>
      <w:pPr>
        <w:spacing w:after="0" w:line="14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On March 28, 2009, we had approximately $41 million outstanding on our $300 million revolving credit facility. The revolving credit facility also supports letters of credit totaling approximately $29.7 million on March 28, 2009.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March 28, 2009. If our profitability declines in the future, it may adversely impact our ability to meet certain of these loan covenants without further action on our part. Management will evaluate what, if any, action or actions may be available to resolve any future non-compliance. A possible consequence of non-compliance may include an adjustment to increase our interest rates to reflect current market conditions.</w:t>
      </w:r>
    </w:p>
    <w:p>
      <w:pPr>
        <w:spacing w:after="0" w:line="15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Our Series 2002-A Senior Notes totaling $15.0 million are due on December 18, 2009. We intend to re-pay this debt through cash flow generated in 2009.</w:t>
      </w:r>
    </w:p>
    <w:p>
      <w:pPr>
        <w:spacing w:after="0" w:line="12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Notes to Consolidated Condensed Financial Statements, Note G, “Commitments, Contingencies, and Guarantees.”</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2008.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80" w:right="559" w:hanging="348"/>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28, 2009 (the “Evaluation Date”), have concluded that, as of such date, our disclosure controls and procedures were effective.</w:t>
      </w:r>
    </w:p>
    <w:p>
      <w:pPr>
        <w:spacing w:after="0" w:line="119"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first quarter ended March 28, 2009,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None.</w:t>
      </w:r>
    </w:p>
    <w:p>
      <w:pPr>
        <w:spacing w:after="0" w:line="1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None.</w:t>
      </w:r>
    </w:p>
    <w:p>
      <w:pPr>
        <w:spacing w:after="0" w:line="1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December 28, 2008 – January 31, 2009</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1,224,853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1 – 28, 2009</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1,224,853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1 – 28, 2009</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1,530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1,223,323</w:t>
            </w:r>
          </w:p>
        </w:tc>
      </w:tr>
    </w:tbl>
    <w:p>
      <w:pPr>
        <w:spacing w:after="0" w:line="175"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18"/>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March 28, 2009, cumulative total authorized shares available for repurchase is 1.2 million shares.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In the first quarter of 2009, the Audit Committee approved $186,000 of non-audit services to be provided by our independent auditors, Ernst &amp; Young LLP, for 2009.</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43"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2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98"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340"/>
        <w:spacing w:after="0"/>
        <w:tabs>
          <w:tab w:leader="none" w:pos="5020" w:val="left"/>
        </w:tabs>
        <w:rPr>
          <w:sz w:val="20"/>
          <w:szCs w:val="20"/>
          <w:color w:val="auto"/>
        </w:rPr>
      </w:pPr>
      <w:r>
        <w:rPr>
          <w:rFonts w:ascii="Arial" w:cs="Arial" w:eastAsia="Arial" w:hAnsi="Arial"/>
          <w:sz w:val="18"/>
          <w:szCs w:val="18"/>
          <w:color w:val="auto"/>
        </w:rPr>
        <w:t>Date: April 23, 2009</w:t>
      </w:r>
      <w:r>
        <w:rPr>
          <w:sz w:val="20"/>
          <w:szCs w:val="20"/>
          <w:color w:val="auto"/>
        </w:rPr>
        <w:tab/>
      </w:r>
      <w:r>
        <w:rPr>
          <w:rFonts w:ascii="Arial" w:cs="Arial" w:eastAsia="Arial" w:hAnsi="Arial"/>
          <w:sz w:val="17"/>
          <w:szCs w:val="17"/>
          <w:color w:val="auto"/>
        </w:rPr>
        <w:t>By: /s/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2710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Chief Executive Officer</w:t>
      </w:r>
    </w:p>
    <w:p>
      <w:pPr>
        <w:spacing w:after="0" w:line="211" w:lineRule="exact"/>
        <w:rPr>
          <w:sz w:val="20"/>
          <w:szCs w:val="20"/>
          <w:color w:val="auto"/>
        </w:rPr>
      </w:pPr>
    </w:p>
    <w:p>
      <w:pPr>
        <w:ind w:left="340"/>
        <w:spacing w:after="0"/>
        <w:tabs>
          <w:tab w:leader="none" w:pos="5020" w:val="left"/>
        </w:tabs>
        <w:rPr>
          <w:sz w:val="20"/>
          <w:szCs w:val="20"/>
          <w:color w:val="auto"/>
        </w:rPr>
      </w:pPr>
      <w:r>
        <w:rPr>
          <w:rFonts w:ascii="Arial" w:cs="Arial" w:eastAsia="Arial" w:hAnsi="Arial"/>
          <w:sz w:val="18"/>
          <w:szCs w:val="18"/>
          <w:color w:val="auto"/>
        </w:rPr>
        <w:t>Date: April 23, 2009</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2710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Chief Financial Officer</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14605</wp:posOffset>
            </wp:positionV>
            <wp:extent cx="5093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219" w:lineRule="exact"/>
        <w:rPr>
          <w:sz w:val="20"/>
          <w:szCs w:val="20"/>
          <w:color w:val="auto"/>
        </w:rPr>
      </w:pPr>
    </w:p>
    <w:p>
      <w:pPr>
        <w:ind w:left="1640" w:hanging="971"/>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120" w:right="639" w:hanging="477"/>
        <w:spacing w:after="0" w:line="277" w:lineRule="auto"/>
        <w:tabs>
          <w:tab w:leader="none" w:pos="2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2120" w:right="679" w:hanging="477"/>
        <w:spacing w:after="0" w:line="277" w:lineRule="auto"/>
        <w:tabs>
          <w:tab w:leader="none" w:pos="2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640" w:hanging="971"/>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120" w:right="639" w:hanging="477"/>
        <w:spacing w:after="0" w:line="277" w:lineRule="auto"/>
        <w:tabs>
          <w:tab w:leader="none" w:pos="2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2120" w:right="679" w:hanging="477"/>
        <w:spacing w:after="0" w:line="277" w:lineRule="auto"/>
        <w:tabs>
          <w:tab w:leader="none" w:pos="2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ectPr>
          <w:pgSz w:w="11900" w:h="16838" w:orient="portrait"/>
          <w:cols w:equalWidth="0" w:num="1">
            <w:col w:w="10219"/>
          </w:cols>
          <w:pgMar w:left="240" w:top="419" w:right="1440" w:bottom="1440" w:gutter="0" w:footer="0" w:header="0"/>
        </w:sectPr>
      </w:pPr>
    </w:p>
    <w:bookmarkStart w:id="32" w:name="page33"/>
    <w:bookmarkEnd w:id="32"/>
    <w:p>
      <w:pPr>
        <w:jc w:val="right"/>
        <w:ind w:right="5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April 23,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5"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color w:val="auto"/>
        </w:rPr>
        <w:t>Exhibit 31(b)</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April 23,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125" w:right="1440" w:bottom="1440" w:gutter="0" w:footer="0" w:header="0"/>
        </w:sectPr>
      </w:pPr>
    </w:p>
    <w:bookmarkStart w:id="34" w:name="page35"/>
    <w:bookmarkEnd w:id="34"/>
    <w:p>
      <w:pPr>
        <w:jc w:val="right"/>
        <w:ind w:right="559"/>
        <w:spacing w:after="0"/>
        <w:rPr>
          <w:sz w:val="20"/>
          <w:szCs w:val="20"/>
          <w:color w:val="auto"/>
        </w:rPr>
      </w:pPr>
      <w:r>
        <w:rPr>
          <w:rFonts w:ascii="Arial" w:cs="Arial" w:eastAsia="Arial" w:hAnsi="Arial"/>
          <w:sz w:val="18"/>
          <w:szCs w:val="18"/>
          <w:color w:val="auto"/>
        </w:rPr>
        <w:t>Exhibit 32(a)</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28, 2009,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28, 2009 fairly presents, in all material respects, the financial condition and results of operations of Universal Forest Products, Inc.</w:t>
      </w:r>
    </w:p>
    <w:p>
      <w:pPr>
        <w:spacing w:after="0" w:line="14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Date: April 23, 2009</w:t>
      </w:r>
      <w:r>
        <w:rPr>
          <w:sz w:val="20"/>
          <w:szCs w:val="20"/>
          <w:color w:val="auto"/>
        </w:rPr>
        <w:tab/>
      </w:r>
      <w:r>
        <w:rPr>
          <w:rFonts w:ascii="Arial" w:cs="Arial" w:eastAsia="Arial" w:hAnsi="Arial"/>
          <w:sz w:val="17"/>
          <w:szCs w:val="17"/>
          <w:color w:val="auto"/>
        </w:rPr>
        <w:t>By: /s/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2710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Its:  Chief Executive Officer</w:t>
      </w:r>
    </w:p>
    <w:p>
      <w:pPr>
        <w:spacing w:after="0" w:line="170"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35" w:name="page36"/>
    <w:bookmarkEnd w:id="35"/>
    <w:p>
      <w:pPr>
        <w:jc w:val="right"/>
        <w:ind w:right="559"/>
        <w:spacing w:after="0"/>
        <w:rPr>
          <w:sz w:val="20"/>
          <w:szCs w:val="20"/>
          <w:color w:val="auto"/>
        </w:rPr>
      </w:pPr>
      <w:r>
        <w:rPr>
          <w:rFonts w:ascii="Arial" w:cs="Arial" w:eastAsia="Arial" w:hAnsi="Arial"/>
          <w:sz w:val="18"/>
          <w:szCs w:val="18"/>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28, 2009,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28, 2009 fairly presents, in all material respects, the financial condition and results of operations of Universal Forest Products, Inc.</w:t>
      </w:r>
    </w:p>
    <w:p>
      <w:pPr>
        <w:spacing w:after="0" w:line="14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April 23, 2009</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Chief Financial Officer</w:t>
      </w:r>
    </w:p>
    <w:p>
      <w:pPr>
        <w:spacing w:after="0" w:line="170"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upperLetter"/>
      <w:start w:val="2"/>
    </w:lvl>
  </w:abstractNum>
  <w:abstractNum w:abstractNumId="3">
    <w:nsid w:val="DED7263"/>
    <w:multiLevelType w:val="hybridMultilevel"/>
    <w:lvl w:ilvl="0">
      <w:lvlJc w:val="left"/>
      <w:lvlText w:val="%1."/>
      <w:numFmt w:val="upperLetter"/>
      <w:start w:val="5"/>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upperLetter"/>
      <w:start w:val="6"/>
    </w:lvl>
  </w:abstractNum>
  <w:abstractNum w:abstractNumId="6">
    <w:nsid w:val="41A7C4C9"/>
    <w:multiLevelType w:val="hybridMultilevel"/>
    <w:lvl w:ilvl="0">
      <w:lvlJc w:val="left"/>
      <w:lvlText w:val="%1."/>
      <w:numFmt w:val="upperLetter"/>
      <w:start w:val="9"/>
    </w:lvl>
  </w:abstractNum>
  <w:abstractNum w:abstractNumId="7">
    <w:nsid w:val="6B68079A"/>
    <w:multiLevelType w:val="hybridMultilevel"/>
    <w:lvl w:ilvl="0">
      <w:lvlJc w:val="left"/>
      <w:lvlText w:val="%1."/>
      <w:numFmt w:val="upperLetter"/>
      <w:start w:val="10"/>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1"/>
    </w:lvl>
    <w:lvl w:ilvl="1">
      <w:lvlJc w:val="left"/>
      <w:lvlText w:val="(%2)"/>
      <w:numFmt w:val="lowerLetter"/>
      <w:start w:val="1"/>
    </w:lvl>
  </w:abstractNum>
  <w:abstractNum w:abstractNumId="19">
    <w:nsid w:val="721DA317"/>
    <w:multiLevelType w:val="hybridMultilevel"/>
    <w:lvl w:ilvl="0">
      <w:lvlJc w:val="left"/>
      <w:lvlText w:val="%1"/>
      <w:numFmt w:val="decimal"/>
      <w:start w:val="3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2019-12-10T12:09:31Z</dcterms:created>
  <dcterms:modified xsi:type="dcterms:W3CDTF">2019-12-10T12:09:31Z</dcterms:modified>
</cp:coreProperties>
</file>