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24"/>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54875"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102870"/>
                    </a:xfrm>
                    <a:prstGeom prst="rect">
                      <a:avLst/>
                    </a:prstGeom>
                    <a:noFill/>
                  </pic:spPr>
                </pic:pic>
              </a:graphicData>
            </a:graphic>
          </wp:anchor>
        </w:drawing>
        <w:t>SECURITIES AND EXCHANGE COMMISSION</w:t>
      </w:r>
    </w:p>
    <w:p>
      <w:pPr>
        <w:spacing w:after="0" w:line="41" w:lineRule="exact"/>
        <w:rPr>
          <w:sz w:val="24"/>
          <w:szCs w:val="24"/>
          <w:color w:val="auto"/>
        </w:rPr>
      </w:pPr>
    </w:p>
    <w:p>
      <w:pPr>
        <w:jc w:val="center"/>
        <w:ind w:right="-924"/>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78" w:lineRule="exact"/>
        <w:rPr>
          <w:sz w:val="24"/>
          <w:szCs w:val="24"/>
          <w:color w:val="auto"/>
        </w:rPr>
      </w:pPr>
    </w:p>
    <w:p>
      <w:pPr>
        <w:ind w:left="4805"/>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4065" w:right="320" w:hanging="4065"/>
        <w:spacing w:after="0" w:line="516" w:lineRule="auto"/>
        <w:tabs>
          <w:tab w:leader="none" w:pos="4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PURSUANT TO SECTION 15(d) OF THE SECURITIES EXCHANGE ACT OF 1934 [NO FEE REQUIRED]. For the fiscal year ended December 31, 2015</w:t>
      </w:r>
    </w:p>
    <w:p>
      <w:pPr>
        <w:spacing w:after="0" w:line="1" w:lineRule="exact"/>
        <w:rPr>
          <w:rFonts w:ascii="Times New Roman" w:cs="Times New Roman" w:eastAsia="Times New Roman" w:hAnsi="Times New Roman"/>
          <w:sz w:val="18"/>
          <w:szCs w:val="18"/>
          <w:color w:val="auto"/>
        </w:rPr>
      </w:pPr>
    </w:p>
    <w:p>
      <w:pPr>
        <w:ind w:left="5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387" w:lineRule="exact"/>
        <w:rPr>
          <w:sz w:val="24"/>
          <w:szCs w:val="24"/>
          <w:color w:val="auto"/>
        </w:rPr>
      </w:pPr>
    </w:p>
    <w:p>
      <w:pPr>
        <w:ind w:left="-35" w:firstLine="35"/>
        <w:spacing w:after="0" w:line="514" w:lineRule="auto"/>
        <w:tabs>
          <w:tab w:leader="none" w:pos="4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PURSUANT TO SECTION 15(d) OF THE SECURITIES EXCHANGE ACT OF 1934 [NO FEE REQUIRED]. Commission file number: 0-22684</w:t>
      </w:r>
    </w:p>
    <w:p>
      <w:pPr>
        <w:spacing w:after="0" w:line="1" w:lineRule="exact"/>
        <w:rPr>
          <w:sz w:val="24"/>
          <w:szCs w:val="24"/>
          <w:color w:val="auto"/>
        </w:rPr>
      </w:pPr>
    </w:p>
    <w:p>
      <w:pPr>
        <w:jc w:val="center"/>
        <w:ind w:right="-924"/>
        <w:spacing w:after="0"/>
        <w:rPr>
          <w:sz w:val="20"/>
          <w:szCs w:val="20"/>
          <w:color w:val="auto"/>
        </w:rPr>
      </w:pPr>
      <w:r>
        <w:rPr>
          <w:rFonts w:ascii="Times New Roman" w:cs="Times New Roman" w:eastAsia="Times New Roman" w:hAnsi="Times New Roman"/>
          <w:sz w:val="18"/>
          <w:szCs w:val="18"/>
          <w:b w:val="1"/>
          <w:bCs w:val="1"/>
          <w:color w:val="auto"/>
        </w:rPr>
        <w:t>Universal Forest Products, Inc. Employees' Profit Sharing</w:t>
      </w:r>
    </w:p>
    <w:p>
      <w:pPr>
        <w:spacing w:after="0" w:line="31" w:lineRule="exact"/>
        <w:rPr>
          <w:sz w:val="24"/>
          <w:szCs w:val="24"/>
          <w:color w:val="auto"/>
        </w:rPr>
      </w:pPr>
    </w:p>
    <w:p>
      <w:pPr>
        <w:jc w:val="center"/>
        <w:ind w:right="-924"/>
        <w:spacing w:after="0"/>
        <w:rPr>
          <w:sz w:val="20"/>
          <w:szCs w:val="20"/>
          <w:color w:val="auto"/>
        </w:rPr>
      </w:pPr>
      <w:r>
        <w:rPr>
          <w:rFonts w:ascii="Times New Roman" w:cs="Times New Roman" w:eastAsia="Times New Roman" w:hAnsi="Times New Roman"/>
          <w:sz w:val="18"/>
          <w:szCs w:val="18"/>
          <w:b w:val="1"/>
          <w:bCs w:val="1"/>
          <w:color w:val="auto"/>
        </w:rPr>
        <w:t>and 401(k) Plan</w:t>
      </w:r>
    </w:p>
    <w:p>
      <w:pPr>
        <w:spacing w:after="0" w:line="9" w:lineRule="exact"/>
        <w:rPr>
          <w:sz w:val="24"/>
          <w:szCs w:val="24"/>
          <w:color w:val="auto"/>
        </w:rPr>
      </w:pPr>
    </w:p>
    <w:p>
      <w:pPr>
        <w:jc w:val="center"/>
        <w:ind w:right="-924"/>
        <w:spacing w:after="0"/>
        <w:rPr>
          <w:sz w:val="20"/>
          <w:szCs w:val="20"/>
          <w:color w:val="auto"/>
        </w:rPr>
      </w:pPr>
      <w:r>
        <w:rPr>
          <w:rFonts w:ascii="Times New Roman" w:cs="Times New Roman" w:eastAsia="Times New Roman" w:hAnsi="Times New Roman"/>
          <w:sz w:val="18"/>
          <w:szCs w:val="18"/>
          <w:color w:val="auto"/>
        </w:rPr>
        <w:t>(Full title of the plan and the address of the plan, if different from that of issuer named below)</w:t>
      </w:r>
    </w:p>
    <w:p>
      <w:pPr>
        <w:spacing w:after="0" w:line="187" w:lineRule="exact"/>
        <w:rPr>
          <w:sz w:val="24"/>
          <w:szCs w:val="24"/>
          <w:color w:val="auto"/>
        </w:rPr>
      </w:pPr>
    </w:p>
    <w:p>
      <w:pPr>
        <w:jc w:val="center"/>
        <w:ind w:right="-924"/>
        <w:spacing w:after="0"/>
        <w:rPr>
          <w:sz w:val="20"/>
          <w:szCs w:val="20"/>
          <w:color w:val="auto"/>
        </w:rPr>
      </w:pPr>
      <w:r>
        <w:rPr>
          <w:rFonts w:ascii="Times New Roman" w:cs="Times New Roman" w:eastAsia="Times New Roman" w:hAnsi="Times New Roman"/>
          <w:sz w:val="43"/>
          <w:szCs w:val="43"/>
          <w:b w:val="1"/>
          <w:bCs w:val="1"/>
          <w:color w:val="auto"/>
        </w:rPr>
        <w:t>Universal Forest Products, Inc.</w:t>
      </w:r>
    </w:p>
    <w:p>
      <w:pPr>
        <w:spacing w:after="0" w:line="58" w:lineRule="exact"/>
        <w:rPr>
          <w:sz w:val="24"/>
          <w:szCs w:val="24"/>
          <w:color w:val="auto"/>
        </w:rPr>
      </w:pPr>
    </w:p>
    <w:p>
      <w:pPr>
        <w:jc w:val="center"/>
        <w:ind w:right="-924"/>
        <w:spacing w:after="0"/>
        <w:rPr>
          <w:sz w:val="20"/>
          <w:szCs w:val="20"/>
          <w:color w:val="auto"/>
        </w:rPr>
      </w:pPr>
      <w:r>
        <w:rPr>
          <w:rFonts w:ascii="Times New Roman" w:cs="Times New Roman" w:eastAsia="Times New Roman" w:hAnsi="Times New Roman"/>
          <w:sz w:val="18"/>
          <w:szCs w:val="18"/>
          <w:b w:val="1"/>
          <w:bCs w:val="1"/>
          <w:color w:val="auto"/>
        </w:rPr>
        <w:t>2801 East Beltline NE</w:t>
      </w:r>
    </w:p>
    <w:p>
      <w:pPr>
        <w:spacing w:after="0" w:line="7" w:lineRule="exact"/>
        <w:rPr>
          <w:sz w:val="24"/>
          <w:szCs w:val="24"/>
          <w:color w:val="auto"/>
        </w:rPr>
      </w:pPr>
    </w:p>
    <w:p>
      <w:pPr>
        <w:jc w:val="center"/>
        <w:ind w:right="-924"/>
        <w:spacing w:after="0"/>
        <w:rPr>
          <w:sz w:val="20"/>
          <w:szCs w:val="20"/>
          <w:color w:val="auto"/>
        </w:rPr>
      </w:pPr>
      <w:r>
        <w:rPr>
          <w:rFonts w:ascii="Times New Roman" w:cs="Times New Roman" w:eastAsia="Times New Roman" w:hAnsi="Times New Roman"/>
          <w:sz w:val="18"/>
          <w:szCs w:val="18"/>
          <w:b w:val="1"/>
          <w:bCs w:val="1"/>
          <w:color w:val="auto"/>
        </w:rPr>
        <w:t>Grand Rapids, Michigan 49525-9736</w:t>
      </w:r>
    </w:p>
    <w:p>
      <w:pPr>
        <w:spacing w:after="0" w:line="9" w:lineRule="exact"/>
        <w:rPr>
          <w:sz w:val="24"/>
          <w:szCs w:val="24"/>
          <w:color w:val="auto"/>
        </w:rPr>
      </w:pPr>
    </w:p>
    <w:p>
      <w:pPr>
        <w:jc w:val="center"/>
        <w:ind w:right="-924"/>
        <w:spacing w:after="0"/>
        <w:rPr>
          <w:sz w:val="20"/>
          <w:szCs w:val="20"/>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228600</wp:posOffset>
            </wp:positionV>
            <wp:extent cx="7254875" cy="10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02870"/>
                    </a:xfrm>
                    <a:prstGeom prst="rect">
                      <a:avLst/>
                    </a:prstGeom>
                    <a:noFill/>
                  </pic:spPr>
                </pic:pic>
              </a:graphicData>
            </a:graphic>
          </wp:anchor>
        </w:drawing>
      </w:r>
    </w:p>
    <w:p>
      <w:pPr>
        <w:sectPr>
          <w:pgSz w:w="11900" w:h="16838" w:orient="portrait"/>
          <w:cols w:equalWidth="0" w:num="1">
            <w:col w:w="10425"/>
          </w:cols>
          <w:pgMar w:left="275" w:top="765" w:right="11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Statements and Supplemental Schedules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2015 and 2014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800" w:type="dxa"/>
            <w:vAlign w:val="bottom"/>
            <w:gridSpan w:val="7"/>
            <w:shd w:val="clear" w:color="auto" w:fill="CCEEFF"/>
          </w:tcPr>
          <w:p>
            <w:pPr>
              <w:ind w:left="4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Report of Independent Registered Public Accounting Firm</w:t>
              </w:r>
            </w:hyperlink>
          </w:p>
        </w:tc>
        <w:tc>
          <w:tcPr>
            <w:tcW w:w="3380" w:type="dxa"/>
            <w:vAlign w:val="bottom"/>
            <w:gridSpan w:val="4"/>
            <w:shd w:val="clear" w:color="auto" w:fill="CCEEFF"/>
          </w:tcPr>
          <w:p>
            <w:pPr>
              <w:jc w:val="center"/>
              <w:ind w:left="3090"/>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240" w:type="dxa"/>
            <w:vAlign w:val="bottom"/>
            <w:shd w:val="clear" w:color="auto" w:fill="CCEEFF"/>
          </w:tcPr>
          <w:p>
            <w:pPr>
              <w:spacing w:after="0"/>
              <w:rPr>
                <w:sz w:val="22"/>
                <w:szCs w:val="22"/>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2140" w:type="dxa"/>
            <w:vAlign w:val="bottom"/>
            <w:tcBorders>
              <w:top w:val="single" w:sz="8" w:color="0000EE"/>
            </w:tcBorders>
          </w:tcPr>
          <w:p>
            <w:pPr>
              <w:spacing w:after="0"/>
              <w:rPr>
                <w:sz w:val="23"/>
                <w:szCs w:val="23"/>
                <w:color w:val="auto"/>
              </w:rPr>
            </w:pPr>
          </w:p>
        </w:tc>
        <w:tc>
          <w:tcPr>
            <w:tcW w:w="1300" w:type="dxa"/>
            <w:vAlign w:val="bottom"/>
            <w:tcBorders>
              <w:top w:val="single" w:sz="8" w:color="0000EE"/>
            </w:tcBorders>
          </w:tcPr>
          <w:p>
            <w:pPr>
              <w:spacing w:after="0"/>
              <w:rPr>
                <w:sz w:val="23"/>
                <w:szCs w:val="23"/>
                <w:color w:val="auto"/>
              </w:rPr>
            </w:pPr>
          </w:p>
        </w:tc>
        <w:tc>
          <w:tcPr>
            <w:tcW w:w="7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3180" w:type="dxa"/>
            <w:vAlign w:val="bottom"/>
            <w:tcBorders>
              <w:top w:val="single" w:sz="8" w:color="CCEEFF"/>
            </w:tcBorders>
          </w:tcPr>
          <w:p>
            <w:pPr>
              <w:spacing w:after="0"/>
              <w:rPr>
                <w:sz w:val="23"/>
                <w:szCs w:val="23"/>
                <w:color w:val="auto"/>
              </w:rPr>
            </w:pPr>
          </w:p>
        </w:tc>
        <w:tc>
          <w:tcPr>
            <w:tcW w:w="32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780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3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03"/>
        </w:trPr>
        <w:tc>
          <w:tcPr>
            <w:tcW w:w="7800" w:type="dxa"/>
            <w:vAlign w:val="bottom"/>
            <w:gridSpan w:val="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Statements of Net Assets Available for Benefits</w:t>
              </w:r>
            </w:hyperlink>
          </w:p>
        </w:tc>
        <w:tc>
          <w:tcPr>
            <w:tcW w:w="3380" w:type="dxa"/>
            <w:vAlign w:val="bottom"/>
            <w:gridSpan w:val="4"/>
            <w:shd w:val="clear" w:color="auto" w:fill="CCEEFF"/>
          </w:tcPr>
          <w:p>
            <w:pPr>
              <w:jc w:val="center"/>
              <w:ind w:left="3090"/>
              <w:spacing w:after="0" w:line="202"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0000EE"/>
            </w:tcBorders>
            <w:shd w:val="clear" w:color="auto" w:fill="CCEEFF"/>
          </w:tcPr>
          <w:p>
            <w:pPr>
              <w:spacing w:after="0"/>
              <w:rPr>
                <w:sz w:val="4"/>
                <w:szCs w:val="4"/>
                <w:color w:val="auto"/>
              </w:rPr>
            </w:pPr>
          </w:p>
        </w:tc>
        <w:tc>
          <w:tcPr>
            <w:tcW w:w="130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3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7800" w:type="dxa"/>
            <w:vAlign w:val="bottom"/>
            <w:gridSpan w:val="7"/>
          </w:tcPr>
          <w:p>
            <w:pPr>
              <w:ind w:left="4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Statements of Changes in Net Assets Available for Benefits</w:t>
              </w:r>
            </w:hyperlink>
          </w:p>
        </w:tc>
        <w:tc>
          <w:tcPr>
            <w:tcW w:w="3380" w:type="dxa"/>
            <w:vAlign w:val="bottom"/>
            <w:gridSpan w:val="4"/>
          </w:tcPr>
          <w:p>
            <w:pPr>
              <w:jc w:val="center"/>
              <w:ind w:left="3090"/>
              <w:spacing w:after="0" w:line="202"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7800" w:type="dxa"/>
            <w:vAlign w:val="bottom"/>
            <w:gridSpan w:val="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Financial Statements</w:t>
              </w:r>
            </w:hyperlink>
          </w:p>
        </w:tc>
        <w:tc>
          <w:tcPr>
            <w:tcW w:w="3380" w:type="dxa"/>
            <w:vAlign w:val="bottom"/>
            <w:gridSpan w:val="4"/>
            <w:shd w:val="clear" w:color="auto" w:fill="CCEEFF"/>
          </w:tcPr>
          <w:p>
            <w:pPr>
              <w:jc w:val="center"/>
              <w:ind w:left="3090"/>
              <w:spacing w:after="0" w:line="202"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c>
          <w:tcPr>
            <w:tcW w:w="2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2140" w:type="dxa"/>
            <w:vAlign w:val="bottom"/>
            <w:tcBorders>
              <w:top w:val="single" w:sz="8" w:color="0000EE"/>
            </w:tcBorders>
          </w:tcPr>
          <w:p>
            <w:pPr>
              <w:spacing w:after="0"/>
              <w:rPr>
                <w:sz w:val="23"/>
                <w:szCs w:val="23"/>
                <w:color w:val="auto"/>
              </w:rPr>
            </w:pPr>
          </w:p>
        </w:tc>
        <w:tc>
          <w:tcPr>
            <w:tcW w:w="130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3180" w:type="dxa"/>
            <w:vAlign w:val="bottom"/>
            <w:tcBorders>
              <w:top w:val="single" w:sz="8" w:color="CCEEFF"/>
            </w:tcBorders>
          </w:tcPr>
          <w:p>
            <w:pPr>
              <w:spacing w:after="0"/>
              <w:rPr>
                <w:sz w:val="23"/>
                <w:szCs w:val="23"/>
                <w:color w:val="auto"/>
              </w:rPr>
            </w:pPr>
          </w:p>
        </w:tc>
        <w:tc>
          <w:tcPr>
            <w:tcW w:w="32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780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Schedules</w:t>
            </w:r>
          </w:p>
        </w:tc>
        <w:tc>
          <w:tcPr>
            <w:tcW w:w="3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03"/>
        </w:trPr>
        <w:tc>
          <w:tcPr>
            <w:tcW w:w="7800" w:type="dxa"/>
            <w:vAlign w:val="bottom"/>
            <w:gridSpan w:val="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Schedule H, Line 4i—Schedule of Assets (Held at End of Year)</w:t>
              </w:r>
            </w:hyperlink>
          </w:p>
        </w:tc>
        <w:tc>
          <w:tcPr>
            <w:tcW w:w="3380" w:type="dxa"/>
            <w:vAlign w:val="bottom"/>
            <w:gridSpan w:val="4"/>
            <w:shd w:val="clear" w:color="auto" w:fill="CCEEFF"/>
          </w:tcPr>
          <w:p>
            <w:pPr>
              <w:jc w:val="center"/>
              <w:ind w:left="3110"/>
              <w:spacing w:after="0" w:line="202"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12</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0000EE"/>
            </w:tcBorders>
            <w:shd w:val="clear" w:color="auto" w:fill="CCEEFF"/>
          </w:tcPr>
          <w:p>
            <w:pPr>
              <w:spacing w:after="0"/>
              <w:rPr>
                <w:sz w:val="4"/>
                <w:szCs w:val="4"/>
                <w:color w:val="auto"/>
              </w:rPr>
            </w:pPr>
          </w:p>
        </w:tc>
        <w:tc>
          <w:tcPr>
            <w:tcW w:w="130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3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Profit Sharing and 401(k) Trustee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Forest Products,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Profit Sharing and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Universal Forest Products, Inc. Employees’ Profit Sharing and 401(k) Plan (the “Plan”) as of December 31, 2015 and 2014,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net assets available for benefits of the Plan as of December 31, 2015 and 2014, and the changes in net assets available for benefits for the years then ended, in conformity with accounting principles generally accepted in the United States of America.</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supplemental schedule of assets (held at end of year) as of December 31, 2015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BDO USA, LLP</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June 15,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rFonts w:ascii="Times New Roman" w:cs="Times New Roman" w:eastAsia="Times New Roman" w:hAnsi="Times New Roman"/>
                <w:sz w:val="18"/>
                <w:szCs w:val="18"/>
                <w:i w:val="1"/>
                <w:iCs w:val="1"/>
                <w:color w:val="0000EE"/>
              </w:rPr>
            </w:pPr>
            <w:hyperlink w:anchor="page2">
              <w:r>
                <w:rPr>
                  <w:rFonts w:ascii="Times New Roman" w:cs="Times New Roman" w:eastAsia="Times New Roman" w:hAnsi="Times New Roman"/>
                  <w:sz w:val="18"/>
                  <w:szCs w:val="18"/>
                  <w:i w:val="1"/>
                  <w:iCs w:val="1"/>
                  <w:color w:val="0000EE"/>
                </w:rPr>
                <w:t>Table of Contents</w:t>
              </w:r>
            </w:hyperlink>
          </w:p>
        </w:tc>
        <w:tc>
          <w:tcPr>
            <w:tcW w:w="5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58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Universal Forest Products, Inc. Employees’ Profit Sharing and</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401(k) Plan</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Statements of Net Assets Available for Benefits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Pr>
          <w:p>
            <w:pPr>
              <w:spacing w:after="0"/>
              <w:rPr>
                <w:sz w:val="23"/>
                <w:szCs w:val="23"/>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34"/>
        </w:trPr>
        <w:tc>
          <w:tcPr>
            <w:tcW w:w="3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00" w:type="dxa"/>
            <w:vAlign w:val="bottom"/>
            <w:gridSpan w:val="2"/>
            <w:vMerge w:val="continue"/>
          </w:tcPr>
          <w:p>
            <w:pPr>
              <w:spacing w:after="0"/>
              <w:rPr>
                <w:sz w:val="19"/>
                <w:szCs w:val="19"/>
                <w:color w:val="auto"/>
              </w:rPr>
            </w:pPr>
          </w:p>
        </w:tc>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5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5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199,205,911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189,784,320</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8,466,177</w:t>
            </w:r>
          </w:p>
        </w:tc>
        <w:tc>
          <w:tcPr>
            <w:tcW w:w="3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8,282,394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5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474,612</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411,960</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Due (to) from investment broker</w:t>
            </w:r>
          </w:p>
        </w:tc>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(2,709)</w:t>
            </w:r>
          </w:p>
        </w:tc>
        <w:tc>
          <w:tcPr>
            <w:tcW w:w="3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5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208,143,991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198,479,670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Times New Roman" w:cs="Times New Roman" w:eastAsia="Times New Roman" w:hAnsi="Times New Roman"/>
                <w:sz w:val="18"/>
                <w:szCs w:val="18"/>
                <w:i w:val="1"/>
                <w:iCs w:val="1"/>
                <w:color w:val="0000EE"/>
              </w:rPr>
            </w:pPr>
            <w:hyperlink w:anchor="page2">
              <w:r>
                <w:rPr>
                  <w:rFonts w:ascii="Times New Roman" w:cs="Times New Roman" w:eastAsia="Times New Roman" w:hAnsi="Times New Roman"/>
                  <w:sz w:val="18"/>
                  <w:szCs w:val="18"/>
                  <w:i w:val="1"/>
                  <w:iCs w:val="1"/>
                  <w:color w:val="0000EE"/>
                </w:rPr>
                <w:t>Table of Contents</w:t>
              </w:r>
            </w:hyperlink>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7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Universal Forest Products, Inc. Employees’ Profit Sharing and</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06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401(k) Plan</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706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Statements of Changes in Net Assets Available for Benefits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7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Pr>
          <w:p>
            <w:pPr>
              <w:spacing w:after="0"/>
              <w:rPr>
                <w:sz w:val="23"/>
                <w:szCs w:val="23"/>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34"/>
        </w:trPr>
        <w:tc>
          <w:tcPr>
            <w:tcW w:w="8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income :</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2,644,549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2,431,085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appreciation in fair value of common stocks</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11,963,942</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1,282,346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appreciation in fair value of common collective trust funds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301,351</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233,241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(depreciation) appreciation in fair value of mutual funds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(2,152,337)</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5,762,559</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12,757,505</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9,709,231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11,315,737</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9,721,018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Rollover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924,102</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617,412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Employer contributions</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2,343,185</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2,004,242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from notes receivable from participants</w:t>
            </w: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438,645</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420,582</w:t>
            </w:r>
          </w:p>
        </w:tc>
        <w:tc>
          <w:tcPr>
            <w:tcW w:w="0" w:type="dxa"/>
            <w:vAlign w:val="bottom"/>
          </w:tcPr>
          <w:p>
            <w:pPr>
              <w:spacing w:after="0"/>
              <w:rPr>
                <w:sz w:val="1"/>
                <w:szCs w:val="1"/>
                <w:color w:val="auto"/>
              </w:rPr>
            </w:pPr>
          </w:p>
        </w:tc>
      </w:tr>
      <w:tr>
        <w:trPr>
          <w:trHeight w:val="230"/>
        </w:trPr>
        <w:tc>
          <w:tcPr>
            <w:tcW w:w="834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additions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27,779,174</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22,472,485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(17,530,960)</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(11,876,357)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(605,819)</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(574,987)</w:t>
            </w:r>
          </w:p>
        </w:tc>
        <w:tc>
          <w:tcPr>
            <w:tcW w:w="0" w:type="dxa"/>
            <w:vAlign w:val="bottom"/>
          </w:tcPr>
          <w:p>
            <w:pPr>
              <w:spacing w:after="0"/>
              <w:rPr>
                <w:sz w:val="1"/>
                <w:szCs w:val="1"/>
                <w:color w:val="auto"/>
              </w:rPr>
            </w:pPr>
          </w:p>
        </w:tc>
      </w:tr>
      <w:tr>
        <w:trPr>
          <w:trHeight w:val="230"/>
        </w:trPr>
        <w:tc>
          <w:tcPr>
            <w:tcW w:w="834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deductions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(18,136,779)</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(12,451,344)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9,642,395</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10,021,141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Transfers in (Note 3)</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21,926</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35,768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198,479,670</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188,422,761</w:t>
            </w:r>
          </w:p>
        </w:tc>
        <w:tc>
          <w:tcPr>
            <w:tcW w:w="0" w:type="dxa"/>
            <w:vAlign w:val="bottom"/>
          </w:tcPr>
          <w:p>
            <w:pPr>
              <w:spacing w:after="0"/>
              <w:rPr>
                <w:sz w:val="1"/>
                <w:szCs w:val="1"/>
                <w:color w:val="auto"/>
              </w:rPr>
            </w:pPr>
          </w:p>
        </w:tc>
      </w:tr>
      <w:tr>
        <w:trPr>
          <w:trHeight w:val="243"/>
        </w:trPr>
        <w:tc>
          <w:tcPr>
            <w:tcW w:w="8340" w:type="dxa"/>
            <w:vAlign w:val="bottom"/>
            <w:tcBorders>
              <w:top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208,143,991</w:t>
            </w:r>
          </w:p>
        </w:tc>
        <w:tc>
          <w:tcPr>
            <w:tcW w:w="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198,479,670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1" w:lineRule="exact"/>
        <w:rPr>
          <w:sz w:val="20"/>
          <w:szCs w:val="20"/>
          <w:color w:val="auto"/>
        </w:rPr>
      </w:pPr>
    </w:p>
    <w:p>
      <w:pPr>
        <w:ind w:right="8540" w:firstLine="8"/>
        <w:spacing w:after="0" w:line="503" w:lineRule="auto"/>
        <w:tabs>
          <w:tab w:leader="none" w:pos="48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Recent Accounting Pronouncements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2015, the Financial Accounting Standards Board ("FASB") issued Accounting Standards Update 2015-07 “Disclosures for Investments in Certain Entities that Calculate Net Asset Value Per Share (or its Equivalent),” (“ASU 2015-07”). ASU 2015-07 removes the requirement to categorize within the fair value hierarchy investments for which fair values are estimated using the net asset value practical expedient provided by Accounting Standards Codification 820, Fair Value Measurement. Disclosures about investments in certain entities that calculate net asset value per share are limited under ASU 2015-07 to those investments for which the entity has elected to estimate the fair value using the net asset value practical expedient. ASU 2015-07 is effective for fiscal years beginning after December 15, 2015, with early adoption permitted.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2015, the FASB issued Accounting Standards Update 2015-12 “Plan Accounting: Defined Benefit Pension Plans (Topic 960), Defined Contribution Plans (Topic 962), Health and Welfare Benefit Plans (Topic 965)” (“ASU 2015-12”). The amendments in Part I of ASU 2015-12 eliminated the requirements that employee benefit plans measure the fair value of fully benefit-responsive investment contracts and provide the related fair value disclosures, rather these contracts will be measured and disclosed only at contract value. The amendments in Part II of ASU 2015-12 will require plans to disaggregate their investments measured using fair value only by general type, either on the financial statements or in the notes. Part II also eliminated the requirement to disclose the net appreciation/depreciation in fair value of investments by general type and the requirements to disclose individual investments that represent 5% or more of net assets available for benefits. The amendments in Part III of ASU 2015-12 provide a practical expedient to permit plans to measure its investments and investment related accounts as of a month-end date closest to its fiscal year for a plan with a fiscal year end that does not coincide with the end of a calendar month. The amendments in ASU 2015-12 are effective for reporting periods beginning after December 15, 2015, with early adoption permitted. As such, we have adopted ASU 2015-07 and ASU 2015-12 as of year ended December 31, 2015.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of the Universal Forest Products, Inc. (Plan Sponsor) Employees’ Profit Sharing and 401(k) Plan (the Plan) are presented on the accrual method of accounting.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reported amounts. Although actual results could differ from these estimates, management believes estimated amounts recorded are reasonable and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Plan’s investments are stated at estimated fair value. Fair value is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Inputs to valuation techniques refer to the assumptions that market participants would use in pricing the asset or liability. The Plan utilizes a fair value hierarchy for valuation inputs that gives the highest priority to quoted prices in active markets for identical assets (Level 1 measurements) and the lowest priority to unobservable inputs (Level 3 measurements). A financial instrument’s level within the fair value hierarchy is based on the lowest level of any input that is significant to the fair value measurement. The following provides a description of the three levels of inputs that may be used to measure fair value: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9" w:right="239" w:bottom="1440" w:gutter="0" w:footer="0" w:header="0"/>
        </w:sectPr>
      </w:pPr>
    </w:p>
    <w:bookmarkStart w:id="6" w:name="page7"/>
    <w:bookmarkEnd w:id="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observable inputs such as quoted prices for similar assets or liabilities in active markets, quoted prices for identical 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inactive markets, inputs other than quoted prices that are observable or can be derived from or corroborated by observable market data by correlation or other means.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valuation methodologies were used to measure the fair value of the Plan’s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Valued at quoted market prices in an exchange and active market in which the securities are traded.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Money Market Fund: </w:t>
      </w:r>
      <w:r>
        <w:rPr>
          <w:rFonts w:ascii="Times New Roman" w:cs="Times New Roman" w:eastAsia="Times New Roman" w:hAnsi="Times New Roman"/>
          <w:sz w:val="18"/>
          <w:szCs w:val="18"/>
          <w:color w:val="auto"/>
        </w:rPr>
        <w:t>Valued at quoted market prices in an exchange and active market, which represent the net asset value (NAV) of shares held by the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money market fund seeks to maintain a $1.00 NAV.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Valued at quoted market prices in an exchange and active market, which represent the net asset values of shares held by the Plan.</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Collective Trust Funds: </w:t>
      </w:r>
      <w:r>
        <w:rPr>
          <w:rFonts w:ascii="Times New Roman" w:cs="Times New Roman" w:eastAsia="Times New Roman" w:hAnsi="Times New Roman"/>
          <w:sz w:val="18"/>
          <w:szCs w:val="18"/>
          <w:color w:val="auto"/>
        </w:rPr>
        <w:t>The fair value of participation units held in Union Bond &amp; Trust Company Stable Value Fund, often referred to as "Morley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Stable Value Fund", are based on net asset value, which is obtained on audited information reported by the issuer of the common collective trust at year-end.</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Plan’s valuation methods may result in a fair value calculation that may not be indicative of net realizable value or reflective of future fair values. Although Plan management believes the valuation methods are appropriate and consistent with those participating in the market, the use of different methodologies or assumptions to determine the fair value of certain financial instruments could result in a different fair value measurement at the reporting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objective of the Morley Stable Value Fund is to provide preservation of capital, relatively stable returns consistent with its comparatively low risk profile, and liquidity for benefit-responsive payments. Withdrawals from the Morley Stable Value Fund for benefit payments and participant transfers to noncompeting options are made to plan participants promptly upon request but in all cases within 30 days after written notification has been received. All plan sponsor-directed full or partial withdrawals are subject to a twelve month advance written notice requirement, though the Morley Stable Value Fund may waive this requirement at its discretion.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Universal Forest Products Stock Fund (the Fund) is tracked on a unitized basis. At December 31, 2015, the Fund consists of common stock of Universal Forest Products, Inc. (Plan Sponsor) and funds that are held in the Goldman Sachs Financial Square Prime Obligation Fund that are sufficient to meet the Fund’s daily cash needs. Unitization of the Fund allows for daily trades. The value of a unit reflects the combined market value of the common stock and the Goldman Sachs Financial Square Prime Obligation Fund held by the Fund. At December 31, 2015 and 2014, 763,542 and 855,913 units, respectively, were outstanding with a value of $67.96 and $53.15 per unit, respectively.</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 date basis. Interest income is recorded on the accrual basis. Dividends are recorded on the ex-dividend date. Net appreciation and depreciation include the Plan’s gains and losses on investments bought or sold as well as held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9" w:right="239" w:bottom="1440" w:gutter="0" w:footer="0" w:header="0"/>
        </w:sectPr>
      </w:pPr>
    </w:p>
    <w:bookmarkStart w:id="7" w:name="page8"/>
    <w:bookmarkEnd w:id="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Notes receivables from participants are measured at their unpaid principal balance plus any accrued but unpaid interest. Delinquent notes receivable from participants are deemed distributions based upon the terms of the Plan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Investments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Included in investments at December 31, 2015 and 2014 are shares of the Plan Sponsor’s common stock with an aggregate fair value of $50,741,137 and $44,387,952, respectively. This investment represents 25% and 23% of total investments at December 31, 2015 and 2014, respectively. A significant decline in the market value of the sponsor’s stock would significantly affect the net assets available for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Administrative expenses incurred in connection with the operations of the Plan are paid via certain investment and transactional fees which are borne by the Plan and applied to applicable participant balances. These fees are disclosed in the annual Fee Disclosure Notice and on individual account statements sent to all Plan participants. Substantially all of these expenses are paid to parties-in-interest of the Plan and are based on reasonable and customary rates for the related services. Certain administrative expenses not reflected in this report are paid directly by the Plan Sponsor.</w:t>
      </w:r>
    </w:p>
    <w:p>
      <w:pPr>
        <w:spacing w:after="0" w:line="176" w:lineRule="exact"/>
        <w:rPr>
          <w:sz w:val="20"/>
          <w:szCs w:val="20"/>
          <w:color w:val="auto"/>
        </w:rPr>
      </w:pPr>
    </w:p>
    <w:p>
      <w:pPr>
        <w:ind w:right="9160" w:firstLine="8"/>
        <w:spacing w:after="0" w:line="503" w:lineRule="auto"/>
        <w:tabs>
          <w:tab w:leader="none" w:pos="48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General</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Plan provides only general information. Participants should refer to the Plan Document and Summary Plan Description, as amended, for a more complete description of the Plan’s provisions.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 a defined-contribution, profit sharing and 401(k) plan that provides tax-deferred benefits for substantially all eligible employees of the Plan Sponsor or other Participating Employers, excluding the employees of separate subsidiaries that maintain a similar defined-contribution plan and those covered under a collective bargaining agreement. The Plan is subject to the provisions of the Employee Retirement Security Act of 1974 (ERISA).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newly eligible employees are automatically enrolled in the Plan at a deferral level of 3% of eligible compensation. Eligible employees are those who are 18 years or older, have completed 60 days of employment and are hired to work more than 180 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may voluntarily contribute up to 75% of their eligible compensation as a 401(k) contribution subject to certain regulatory limitations. Participant contributions to the Plan vest immediately.</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Plan Sponsor contributes regular discretionary matching contributions and may contribute additional discretionary matching contributions. Regular discretionary matching contributions are made quarterly and were 25% of participant deferrals in 2015 and 2014, on the first 6% of each participant’s eligible compensation. Additional discretionary matching contributions may be made at the end of each Plan Year. These amounts are not guaranteed, and may vary from year to year as the Plan Sponsor is not obligated to make such contributions.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9" w:right="239" w:bottom="1440" w:gutter="0" w:footer="0" w:header="0"/>
        </w:sectPr>
      </w:pPr>
    </w:p>
    <w:bookmarkStart w:id="8" w:name="page9"/>
    <w:bookmarkEnd w:id="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Sponsor may also contribute a discretionary profit sharing amount annually as determined by management and approved by the Plan Sponsor’s Board of Directors. The Plan Sponsor’s annual profit sharing contributions are allocated to participants who had at least 1,000 hours of service during the plan year and are allocated to each participant’s account in the same ratio that each participant’s total compensation for the Plan year bears to the total compensation of all participants for such year. No discretionary profit sharing contributions were made in 2015 or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contributions are subject to a vesting schedule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Years of Service</w:t>
            </w:r>
          </w:p>
        </w:tc>
        <w:tc>
          <w:tcPr>
            <w:tcW w:w="576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Vesting Percentage</w:t>
            </w:r>
          </w:p>
        </w:tc>
      </w:tr>
      <w:tr>
        <w:trPr>
          <w:trHeight w:val="34"/>
        </w:trPr>
        <w:tc>
          <w:tcPr>
            <w:tcW w:w="566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70"/>
        </w:trPr>
        <w:tc>
          <w:tcPr>
            <w:tcW w:w="5660" w:type="dxa"/>
            <w:vAlign w:val="bottom"/>
          </w:tcPr>
          <w:p>
            <w:pPr>
              <w:spacing w:after="0"/>
              <w:rPr>
                <w:sz w:val="23"/>
                <w:szCs w:val="23"/>
                <w:color w:val="auto"/>
              </w:rPr>
            </w:pPr>
          </w:p>
        </w:tc>
        <w:tc>
          <w:tcPr>
            <w:tcW w:w="5760" w:type="dxa"/>
            <w:vAlign w:val="bottom"/>
          </w:tcPr>
          <w:p>
            <w:pPr>
              <w:spacing w:after="0"/>
              <w:rPr>
                <w:sz w:val="23"/>
                <w:szCs w:val="23"/>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than 2</w:t>
            </w:r>
          </w:p>
        </w:tc>
        <w:tc>
          <w:tcPr>
            <w:tcW w:w="5760" w:type="dxa"/>
            <w:vAlign w:val="bottom"/>
            <w:tcBorders>
              <w:bottom w:val="single" w:sz="8" w:color="CCEEFF"/>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0%</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 but less than 3</w:t>
            </w:r>
          </w:p>
        </w:tc>
        <w:tc>
          <w:tcPr>
            <w:tcW w:w="57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7"/>
        </w:trPr>
        <w:tc>
          <w:tcPr>
            <w:tcW w:w="5660" w:type="dxa"/>
            <w:vAlign w:val="bottom"/>
          </w:tcPr>
          <w:p>
            <w:pPr>
              <w:spacing w:after="0"/>
              <w:rPr>
                <w:sz w:val="2"/>
                <w:szCs w:val="2"/>
                <w:color w:val="auto"/>
              </w:rPr>
            </w:pPr>
          </w:p>
        </w:tc>
        <w:tc>
          <w:tcPr>
            <w:tcW w:w="57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 but less than 4</w:t>
            </w:r>
          </w:p>
        </w:tc>
        <w:tc>
          <w:tcPr>
            <w:tcW w:w="5760" w:type="dxa"/>
            <w:vAlign w:val="bottom"/>
            <w:tcBorders>
              <w:bottom w:val="single" w:sz="8" w:color="CCEEFF"/>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9"/>
              </w:rPr>
              <w:t>40</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 but less than 5</w:t>
            </w:r>
          </w:p>
        </w:tc>
        <w:tc>
          <w:tcPr>
            <w:tcW w:w="57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60</w:t>
            </w:r>
          </w:p>
        </w:tc>
      </w:tr>
      <w:tr>
        <w:trPr>
          <w:trHeight w:val="27"/>
        </w:trPr>
        <w:tc>
          <w:tcPr>
            <w:tcW w:w="5660" w:type="dxa"/>
            <w:vAlign w:val="bottom"/>
          </w:tcPr>
          <w:p>
            <w:pPr>
              <w:spacing w:after="0"/>
              <w:rPr>
                <w:sz w:val="2"/>
                <w:szCs w:val="2"/>
                <w:color w:val="auto"/>
              </w:rPr>
            </w:pPr>
          </w:p>
        </w:tc>
        <w:tc>
          <w:tcPr>
            <w:tcW w:w="57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but less than 6</w:t>
            </w:r>
          </w:p>
        </w:tc>
        <w:tc>
          <w:tcPr>
            <w:tcW w:w="5760" w:type="dxa"/>
            <w:vAlign w:val="bottom"/>
            <w:tcBorders>
              <w:bottom w:val="single" w:sz="8" w:color="CCEEFF"/>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9"/>
              </w:rPr>
              <w:t>80</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 or more</w:t>
            </w:r>
          </w:p>
        </w:tc>
        <w:tc>
          <w:tcPr>
            <w:tcW w:w="57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was amended effective January 1, 2012 to be designated as an ESOP for those Participants with a portion of their account balance invested in the Universal Forest Products, Inc. Common Stock Fund. This provision allows those Participants who are 100% vested the opportunity to elect to have the dividends on the employer stock fund paid to them in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select from various investment options made available by the Plan. Each participant’s account is credited with the participant’s contribution, an allocation of the Plan Sponsor’s contribution, if any, Plan earnings and losses and certain administrative expenses. Earnings allocations are based on participant account balances, as defined in the Plan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vested portion of terminated and retired participants’ accounts are available for distribution following a separation from service. Forfeitures are used to offset the Plan Sponsor’s matching contributions and for reasonable administrative expenses. During 2015 and 2014, forfeitures of approximately $200,000 and $163,000, respectively, were used to offset the Plan Sponsor’s matching contributions.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may borrow from their account a minimum amount of $1,000 up to a maximum equal to the lesser of $50,000 or 50% of their vested account balance, reduced by any outstanding loans as outlined in the Plan Document. Loan terms range from one to five years or up to 25 years for the purchase of a residence. The loans bear interest at a rate equal to the prime rate (3.50% at December 31, 2015) plus 2% calculated on a daily basis. Interest rates on outstanding loans ranged from 5.25% to 11.50% at December 31, 2015. Effective April 1, 2009, the total loans available changed from five loans to two loans outstanding at any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attainment of age 59½, participants may request in-service withdrawals from the Rollover balance within their account. Participants may also request an in-service withdrawal from their Salary Deferral balance in the event of a financial hardship, subject to certain limitations as defined by the Plan. Once a participant attains age 59½, in-service withdrawals may be made from all contribution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9" w:right="239" w:bottom="1440" w:gutter="0" w:footer="0" w:header="0"/>
        </w:sectPr>
      </w:pPr>
    </w:p>
    <w:bookmarkStart w:id="9" w:name="page10"/>
    <w:bookmarkEnd w:id="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separation from service, a participant is eligible for a lump sum distribution of their full, vested account balance. Participants may elect to receive the distribution in a lump sum amount, a qualified rollover to another plan, or may defer their distribution until a later date. However, in the absence of an election, if the vested portion of a participant’s account is $1,000 or less, this amount will be paid as a lump sum distribution as soon as administratively allowable. Participants who incur a separation from service as a result of their death, Total Disability, or Retirement will be vested at 100% prior to their distribution.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Sponsor intends to continue the Plan indefinitely, but reserves the right to terminate or amend the Plan at any time. In the event of termination of the Plan, all participants are automatically fully vested in the value of their accounts and will be paid in full.</w:t>
      </w:r>
    </w:p>
    <w:p>
      <w:pPr>
        <w:spacing w:after="0" w:line="158"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by the plan, funds totaling $21,926 were transferred from the Shawnlee Construction LLC 401(k) Plan (an affiliated plan) during 2015, due to employee transfers. During 2014, $45,602 were transferred from the Shawnlee Construction LLC 401(k) Plan (an affiliated plan) and $9,834 were transferred to the Shawnlee Construction LLC 401(k) Plan, due to employee transfers.</w:t>
      </w:r>
    </w:p>
    <w:p>
      <w:pPr>
        <w:spacing w:after="0" w:line="388"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by level within the fair value hierarchy the Plan’s investments as of December 31, 2015 and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Investment Assets at Fair Value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1"/>
                <w:szCs w:val="21"/>
                <w:color w:val="auto"/>
              </w:rPr>
            </w:pPr>
          </w:p>
        </w:tc>
        <w:tc>
          <w:tcPr>
            <w:tcW w:w="1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1"/>
                <w:szCs w:val="21"/>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1"/>
                <w:szCs w:val="21"/>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 common stock</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50,741,137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50,741,137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1,149,904</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1,149,904</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116,801,448</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116,801,448</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168,692,489</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168,692,489</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measured at net asset value *</w:t>
            </w: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30,513,422</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168,692,489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199,205,911</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Investment Assets at Fair Value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as of December 31, 2014</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1"/>
                <w:szCs w:val="21"/>
                <w:color w:val="auto"/>
              </w:rPr>
            </w:pP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1"/>
                <w:szCs w:val="21"/>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common stock</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44,387,952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44,387,952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1,104,686</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1,104,686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112,811,981</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112,811,981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158,304,619</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158,304,619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measured at net asset value *</w:t>
            </w: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31,479,701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158,304,619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189,784,320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Common/collective trust fund</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methodologies used at December 31, 2015 and 2014, and there have been no significant transfers in or out of Levels 1, 2 or 3.</w:t>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9"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1"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Status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Sponsor has received a determination letter from the Internal Revenue Service dated October 24, 2011, stating that the Plan is qualified under section 401(a) of the Internal Revenue Code (the Code), and, therefore, the related trust is exempt from taxation. Subsequent to this determination by the Internal Revenue Service, the Plan was amended. Once qualified, the Plan is required to operate in conformity with the Code to maintain its qualification. The Plan Sponsor believes the Plan is being operated in compliance with the applicable requirements of the Code and, therefore, believes that the Plan, as amended, is qualified and the related trust is tax exempt.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Internal Revenue Service. The Plan administrator has analyzed the tax positions taken by the Plan and has concluded that as of December 31, 2015,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w:t>
      </w:r>
    </w:p>
    <w:p>
      <w:pPr>
        <w:spacing w:after="0" w:line="396"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Difference Between Financial Statements and Form 5500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assets available for benefits per the financial statements to the Form 5500: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20"/>
                <w:szCs w:val="20"/>
                <w:color w:val="auto"/>
              </w:rPr>
            </w:pPr>
          </w:p>
        </w:tc>
      </w:tr>
      <w:tr>
        <w:trPr>
          <w:trHeight w:val="270"/>
        </w:trPr>
        <w:tc>
          <w:tcPr>
            <w:tcW w:w="8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540" w:type="dxa"/>
            <w:vAlign w:val="bottom"/>
          </w:tcPr>
          <w:p>
            <w:pPr>
              <w:spacing w:after="0"/>
              <w:rPr>
                <w:sz w:val="23"/>
                <w:szCs w:val="23"/>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34"/>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available for benefits from the financial statements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208,143,991</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198,479,670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adjustment to fair value for fully benefit responsive investment contracts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273,248</w:t>
            </w:r>
          </w:p>
        </w:tc>
      </w:tr>
      <w:tr>
        <w:trPr>
          <w:trHeight w:val="34"/>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 available for benefits from the Form 5500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208,143,991</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198,752,918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increase in net assets per the financial statements to the net income from the Form 5500: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560" w:type="dxa"/>
            <w:vAlign w:val="bottom"/>
          </w:tcPr>
          <w:p>
            <w:pPr>
              <w:spacing w:after="0"/>
              <w:rPr>
                <w:sz w:val="23"/>
                <w:szCs w:val="23"/>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net assets from the financial statements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9,642,395</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10,021,141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 Net adjustment to fair value for fully benefit responsive investment contracts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(273,248)</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273,248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 Net adjustment to fair value for fully benefit responsive investment contracts</w:t>
            </w: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(107,609)</w:t>
            </w:r>
          </w:p>
        </w:tc>
        <w:tc>
          <w:tcPr>
            <w:tcW w:w="0" w:type="dxa"/>
            <w:vAlign w:val="bottom"/>
          </w:tcPr>
          <w:p>
            <w:pPr>
              <w:spacing w:after="0"/>
              <w:rPr>
                <w:sz w:val="1"/>
                <w:szCs w:val="1"/>
                <w:color w:val="auto"/>
              </w:rPr>
            </w:pPr>
          </w:p>
        </w:tc>
      </w:tr>
      <w:tr>
        <w:trPr>
          <w:trHeight w:val="230"/>
        </w:trPr>
        <w:tc>
          <w:tcPr>
            <w:tcW w:w="83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from the Form 5500</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9,369,147</w:t>
            </w:r>
          </w:p>
        </w:tc>
        <w:tc>
          <w:tcPr>
            <w:tcW w:w="5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10,186,780</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9"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EIN #38-1465835 Plan #001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2015</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44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w:t>
            </w: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(e)</w:t>
            </w: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52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Description of Investment Including, Maturity Date,</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Identity of Issuer, Borrower, Lessor, or Similar Party</w:t>
            </w: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Rate of Interest, Collateral, Par, or Maturity Value</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Current Value</w:t>
            </w:r>
          </w:p>
        </w:tc>
        <w:tc>
          <w:tcPr>
            <w:tcW w:w="0" w:type="dxa"/>
            <w:vAlign w:val="bottom"/>
          </w:tcPr>
          <w:p>
            <w:pPr>
              <w:spacing w:after="0"/>
              <w:rPr>
                <w:sz w:val="1"/>
                <w:szCs w:val="1"/>
                <w:color w:val="auto"/>
              </w:rPr>
            </w:pPr>
          </w:p>
        </w:tc>
      </w:tr>
      <w:tr>
        <w:trPr>
          <w:trHeight w:val="34"/>
        </w:trPr>
        <w:tc>
          <w:tcPr>
            <w:tcW w:w="4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400" w:type="dxa"/>
            <w:vAlign w:val="bottom"/>
          </w:tcPr>
          <w:p>
            <w:pPr>
              <w:spacing w:after="0"/>
              <w:rPr>
                <w:sz w:val="24"/>
                <w:szCs w:val="24"/>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Universal Forest Products, Inc.</w:t>
            </w:r>
          </w:p>
        </w:tc>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Universal Forest Products Common Stock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50,741,137</w:t>
            </w: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5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Union Bond &amp; Trust Company</w:t>
            </w: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Stable Value Fund</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30,513,422</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 w:type="dxa"/>
            <w:vAlign w:val="bottom"/>
            <w:shd w:val="clear" w:color="auto" w:fill="CCEEFF"/>
          </w:tcPr>
          <w:p>
            <w:pPr>
              <w:spacing w:after="0"/>
              <w:rPr>
                <w:sz w:val="23"/>
                <w:szCs w:val="23"/>
                <w:color w:val="auto"/>
              </w:rPr>
            </w:pPr>
          </w:p>
        </w:tc>
        <w:tc>
          <w:tcPr>
            <w:tcW w:w="4420" w:type="dxa"/>
            <w:vAlign w:val="bottom"/>
            <w:shd w:val="clear" w:color="auto" w:fill="CCEEFF"/>
          </w:tcPr>
          <w:p>
            <w:pPr>
              <w:spacing w:after="0"/>
              <w:rPr>
                <w:sz w:val="23"/>
                <w:szCs w:val="23"/>
                <w:color w:val="auto"/>
              </w:rPr>
            </w:pPr>
          </w:p>
        </w:tc>
        <w:tc>
          <w:tcPr>
            <w:tcW w:w="5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Goldman Sachs</w:t>
            </w:r>
          </w:p>
        </w:tc>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Square Prime Obligation Fund</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1,149,904</w:t>
            </w: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Mutual funds:</w:t>
            </w:r>
          </w:p>
        </w:tc>
        <w:tc>
          <w:tcPr>
            <w:tcW w:w="5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JP Morgan</w:t>
            </w: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Large Cap Growth Fund</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11,052,048</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Vanguard</w:t>
            </w:r>
          </w:p>
        </w:tc>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Midcap Index Fund</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14,049,802</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Vanguard</w:t>
            </w: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 Cap Index Fund</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911,075</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Dodge &amp; Cox</w:t>
            </w:r>
          </w:p>
        </w:tc>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Fund</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4,142,482</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Vanguard</w:t>
            </w: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Bond Market Index</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972,037</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Dodge &amp; Cox</w:t>
            </w:r>
          </w:p>
        </w:tc>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Stock Fund</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4,834,752</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Vanguard</w:t>
            </w: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International Stock Index Fund</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427,784</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Neuberger Berman</w:t>
            </w:r>
          </w:p>
        </w:tc>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Genesis Fund</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8,156,217</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Invesco</w:t>
            </w: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Growth and Income Fund</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13,592,688</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Vanguard</w:t>
            </w:r>
          </w:p>
        </w:tc>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500 Index Fund</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11,503,377</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 Rowe Price</w:t>
            </w: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Retirement 2050 Fund</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5,679,684</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Retirement 2040 Fund</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10,645,209</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Retirement 2030 Fund</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11,284,140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Retirement 2020 Fund</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15,435,119</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Retirement 2010 Fund</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2,294,776</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400" w:type="dxa"/>
            <w:vAlign w:val="bottom"/>
            <w:tcBorders>
              <w:bottom w:val="single" w:sz="8" w:color="CCEEFF"/>
            </w:tcBorders>
            <w:shd w:val="clear" w:color="auto" w:fill="CCEEFF"/>
          </w:tcPr>
          <w:p>
            <w:pPr>
              <w:spacing w:after="0"/>
              <w:rPr>
                <w:sz w:val="24"/>
                <w:szCs w:val="24"/>
                <w:color w:val="auto"/>
              </w:rPr>
            </w:pPr>
          </w:p>
        </w:tc>
        <w:tc>
          <w:tcPr>
            <w:tcW w:w="4420" w:type="dxa"/>
            <w:vAlign w:val="bottom"/>
            <w:tcBorders>
              <w:bottom w:val="single" w:sz="8" w:color="CCEEFF"/>
            </w:tcBorders>
            <w:shd w:val="clear" w:color="auto" w:fill="CCEEFF"/>
          </w:tcPr>
          <w:p>
            <w:pPr>
              <w:spacing w:after="0"/>
              <w:rPr>
                <w:sz w:val="24"/>
                <w:szCs w:val="24"/>
                <w:color w:val="auto"/>
              </w:rPr>
            </w:pPr>
          </w:p>
        </w:tc>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Retirement Balance Fund</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1,820,258</w:t>
            </w:r>
          </w:p>
        </w:tc>
        <w:tc>
          <w:tcPr>
            <w:tcW w:w="0" w:type="dxa"/>
            <w:vAlign w:val="bottom"/>
          </w:tcPr>
          <w:p>
            <w:pPr>
              <w:spacing w:after="0"/>
              <w:rPr>
                <w:sz w:val="1"/>
                <w:szCs w:val="1"/>
                <w:color w:val="auto"/>
              </w:rPr>
            </w:pPr>
          </w:p>
        </w:tc>
      </w:tr>
      <w:tr>
        <w:trPr>
          <w:trHeight w:val="243"/>
        </w:trPr>
        <w:tc>
          <w:tcPr>
            <w:tcW w:w="400" w:type="dxa"/>
            <w:vAlign w:val="bottom"/>
            <w:tcBorders>
              <w:top w:val="single" w:sz="8" w:color="CCEEFF"/>
            </w:tcBorders>
          </w:tcPr>
          <w:p>
            <w:pPr>
              <w:spacing w:after="0"/>
              <w:rPr>
                <w:sz w:val="21"/>
                <w:szCs w:val="21"/>
                <w:color w:val="auto"/>
              </w:rPr>
            </w:pPr>
          </w:p>
        </w:tc>
        <w:tc>
          <w:tcPr>
            <w:tcW w:w="4420" w:type="dxa"/>
            <w:vAlign w:val="bottom"/>
            <w:tcBorders>
              <w:top w:val="single" w:sz="8" w:color="CCEEFF"/>
            </w:tcBorders>
          </w:tcPr>
          <w:p>
            <w:pPr>
              <w:spacing w:after="0"/>
              <w:rPr>
                <w:sz w:val="21"/>
                <w:szCs w:val="21"/>
                <w:color w:val="auto"/>
              </w:rPr>
            </w:pPr>
          </w:p>
        </w:tc>
        <w:tc>
          <w:tcPr>
            <w:tcW w:w="52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116,801,448</w:t>
            </w:r>
          </w:p>
        </w:tc>
        <w:tc>
          <w:tcPr>
            <w:tcW w:w="0" w:type="dxa"/>
            <w:vAlign w:val="bottom"/>
          </w:tcPr>
          <w:p>
            <w:pPr>
              <w:spacing w:after="0"/>
              <w:rPr>
                <w:sz w:val="1"/>
                <w:szCs w:val="1"/>
                <w:color w:val="auto"/>
              </w:rPr>
            </w:pPr>
          </w:p>
        </w:tc>
      </w:tr>
      <w:tr>
        <w:trPr>
          <w:trHeight w:val="34"/>
        </w:trPr>
        <w:tc>
          <w:tcPr>
            <w:tcW w:w="4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199,205,911</w:t>
            </w:r>
          </w:p>
        </w:tc>
        <w:tc>
          <w:tcPr>
            <w:tcW w:w="0" w:type="dxa"/>
            <w:vAlign w:val="bottom"/>
          </w:tcPr>
          <w:p>
            <w:pPr>
              <w:spacing w:after="0"/>
              <w:rPr>
                <w:sz w:val="1"/>
                <w:szCs w:val="1"/>
                <w:color w:val="auto"/>
              </w:rPr>
            </w:pPr>
          </w:p>
        </w:tc>
      </w:tr>
      <w:tr>
        <w:trPr>
          <w:trHeight w:val="225"/>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Notes receivable from participants</w:t>
            </w: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Collateralized by vested account balances, payable in monthly</w:t>
            </w:r>
          </w:p>
        </w:tc>
        <w:tc>
          <w:tcPr>
            <w:tcW w:w="120" w:type="dxa"/>
            <w:vAlign w:val="bottom"/>
          </w:tcPr>
          <w:p>
            <w:pPr>
              <w:spacing w:after="0"/>
              <w:rPr>
                <w:sz w:val="19"/>
                <w:szCs w:val="19"/>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8,466,177</w:t>
            </w:r>
          </w:p>
        </w:tc>
        <w:tc>
          <w:tcPr>
            <w:tcW w:w="0" w:type="dxa"/>
            <w:vAlign w:val="bottom"/>
          </w:tcPr>
          <w:p>
            <w:pPr>
              <w:spacing w:after="0"/>
              <w:rPr>
                <w:sz w:val="1"/>
                <w:szCs w:val="1"/>
                <w:color w:val="auto"/>
              </w:rPr>
            </w:pPr>
          </w:p>
        </w:tc>
      </w:tr>
      <w:tr>
        <w:trPr>
          <w:trHeight w:val="261"/>
        </w:trPr>
        <w:tc>
          <w:tcPr>
            <w:tcW w:w="400" w:type="dxa"/>
            <w:vAlign w:val="bottom"/>
            <w:tcBorders>
              <w:bottom w:val="single" w:sz="8" w:color="CCEEFF"/>
            </w:tcBorders>
          </w:tcPr>
          <w:p>
            <w:pPr>
              <w:spacing w:after="0"/>
              <w:rPr>
                <w:sz w:val="22"/>
                <w:szCs w:val="22"/>
                <w:color w:val="auto"/>
              </w:rPr>
            </w:pPr>
          </w:p>
        </w:tc>
        <w:tc>
          <w:tcPr>
            <w:tcW w:w="4420" w:type="dxa"/>
            <w:vAlign w:val="bottom"/>
            <w:tcBorders>
              <w:bottom w:val="single" w:sz="8" w:color="CCEEFF"/>
            </w:tcBorders>
          </w:tcPr>
          <w:p>
            <w:pPr>
              <w:spacing w:after="0"/>
              <w:rPr>
                <w:sz w:val="22"/>
                <w:szCs w:val="22"/>
                <w:color w:val="auto"/>
              </w:rPr>
            </w:pPr>
          </w:p>
        </w:tc>
        <w:tc>
          <w:tcPr>
            <w:tcW w:w="5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installments with interest rates ranging from 5.25% to 11.50%</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0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207,672,088</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80" w:hanging="294"/>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party-in-interest to the Plan.</w:t>
      </w:r>
    </w:p>
    <w:p>
      <w:pPr>
        <w:spacing w:after="0" w:line="341"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Column (d), cost, is not applicable, as all investments are participant-directed.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-307975</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60" w:top="121" w:right="259" w:bottom="1440" w:gutter="0" w:footer="0" w:header="0"/>
        </w:sectPr>
      </w:pPr>
    </w:p>
    <w:bookmarkStart w:id="12" w:name="page13"/>
    <w:bookmarkEnd w:id="1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Universal Forest Products, Inc., as Plan Administrator, has duly caused this annual report to be signed on its behalf by the undersigned hereunto duly authorized.</w:t>
      </w:r>
    </w:p>
    <w:p>
      <w:pPr>
        <w:spacing w:after="0" w:line="32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Universal Forest Products, Inc. Employee's Profit</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Sharing and 401(k) Plan</w:t>
      </w:r>
    </w:p>
    <w:p>
      <w:pPr>
        <w:spacing w:after="0" w:line="333" w:lineRule="exact"/>
        <w:rPr>
          <w:sz w:val="20"/>
          <w:szCs w:val="20"/>
          <w:color w:val="auto"/>
        </w:rPr>
      </w:pPr>
    </w:p>
    <w:p>
      <w:pPr>
        <w:ind w:left="40"/>
        <w:spacing w:after="0"/>
        <w:tabs>
          <w:tab w:leader="none" w:pos="700" w:val="left"/>
          <w:tab w:leader="none" w:pos="6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15, 2016</w:t>
      </w:r>
      <w:r>
        <w:rPr>
          <w:sz w:val="20"/>
          <w:szCs w:val="20"/>
          <w:color w:val="auto"/>
        </w:rPr>
        <w:tab/>
      </w:r>
      <w:r>
        <w:rPr>
          <w:rFonts w:ascii="Times New Roman" w:cs="Times New Roman" w:eastAsia="Times New Roman" w:hAnsi="Times New Roman"/>
          <w:sz w:val="17"/>
          <w:szCs w:val="17"/>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34290</wp:posOffset>
            </wp:positionV>
            <wp:extent cx="680910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7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Michael R. Cole,</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Universal Forest Products, Inc., Plan Administrator</w:t>
      </w:r>
    </w:p>
    <w:p>
      <w:pPr>
        <w:spacing w:after="0" w:line="333" w:lineRule="exact"/>
        <w:rPr>
          <w:sz w:val="20"/>
          <w:szCs w:val="20"/>
          <w:color w:val="auto"/>
        </w:rPr>
      </w:pPr>
    </w:p>
    <w:p>
      <w:pPr>
        <w:ind w:left="40"/>
        <w:spacing w:after="0"/>
        <w:tabs>
          <w:tab w:leader="none" w:pos="700" w:val="left"/>
          <w:tab w:leader="none" w:pos="6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15, 2016</w:t>
      </w:r>
      <w:r>
        <w:rPr>
          <w:sz w:val="20"/>
          <w:szCs w:val="20"/>
          <w:color w:val="auto"/>
        </w:rPr>
        <w:tab/>
      </w:r>
      <w:r>
        <w:rPr>
          <w:rFonts w:ascii="Times New Roman" w:cs="Times New Roman" w:eastAsia="Times New Roman" w:hAnsi="Times New Roman"/>
          <w:sz w:val="17"/>
          <w:szCs w:val="17"/>
          <w:color w:val="auto"/>
        </w:rPr>
        <w:t>/s/ Nancy A. DeGood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34290</wp:posOffset>
            </wp:positionV>
            <wp:extent cx="680910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7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Nancy A. DeGood,</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Universal Forest Products, Inc., Plan Administrator</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9" w:right="239" w:bottom="1440" w:gutter="0" w:footer="0" w:header="0"/>
        </w:sectPr>
      </w:pPr>
    </w:p>
    <w:bookmarkStart w:id="13" w:name="page14"/>
    <w:bookmarkEnd w:id="1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INDEX</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No.</w:t>
            </w: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Description</w:t>
            </w:r>
          </w:p>
        </w:tc>
      </w:tr>
      <w:tr>
        <w:trPr>
          <w:trHeight w:val="318"/>
        </w:trPr>
        <w:tc>
          <w:tcPr>
            <w:tcW w:w="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9280" w:type="dxa"/>
            <w:vAlign w:val="bottom"/>
          </w:tcPr>
          <w:p>
            <w:pPr>
              <w:spacing w:after="0"/>
              <w:rPr>
                <w:sz w:val="24"/>
                <w:szCs w:val="24"/>
                <w:color w:val="auto"/>
              </w:rPr>
            </w:pPr>
          </w:p>
        </w:tc>
      </w:tr>
      <w:tr>
        <w:trPr>
          <w:trHeight w:val="243"/>
        </w:trPr>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21"/>
                <w:szCs w:val="21"/>
                <w:color w:val="auto"/>
              </w:rPr>
            </w:pPr>
          </w:p>
        </w:tc>
        <w:tc>
          <w:tcPr>
            <w:tcW w:w="10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Consent of BDO USA, LLP</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9" w:right="2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t>Exhibit 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 401(k)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17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(33-84632) of Universal Forest Products, Inc. of our report dated June 15, 2016, relating to the financial statements and supplemental schedule of Universal Forest Products, Inc. Employees’ Profit Sharing and 401(k) Plan which appears in this Form 11-K for the year ended December 31, 2015.</w:t>
      </w:r>
    </w:p>
    <w:p>
      <w:pPr>
        <w:spacing w:after="0" w:line="3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BDO USA, LLP</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June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77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sectPr>
      <w:pgSz w:w="11900" w:h="16838" w:orient="portrait"/>
      <w:cols w:equalWidth="0" w:num="1">
        <w:col w:w="11420"/>
      </w:cols>
      <w:pgMar w:left="240" w:top="8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2019-12-06T04:35:44Z</dcterms:created>
  <dcterms:modified xsi:type="dcterms:W3CDTF">2019-12-06T04:35:44Z</dcterms:modified>
</cp:coreProperties>
</file>