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-237490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40" w:type="dxa"/>
            <w:vAlign w:val="bottom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-632460</wp:posOffset>
            </wp:positionV>
            <wp:extent cx="58420" cy="645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24765</wp:posOffset>
            </wp:positionV>
            <wp:extent cx="6992620" cy="47828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782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MISSAD MATTHEW J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2801 EAST BELTLINE, N.E.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UFP INDUSTRIES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UFPI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10/31/2022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4" w:right="600" w:firstLine="4"/>
        <w:spacing w:after="0" w:line="261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9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75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3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MI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10/31/2022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71.23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87,859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-2113915</wp:posOffset>
            </wp:positionV>
            <wp:extent cx="29210" cy="21189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8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1-for-1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740" w:firstLine="3"/>
        <w:spacing w:after="0" w:line="260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phantom stock units were accrued under the Company's Deferred Compensation Plan and are payable in shares of the Company's common stock until the reporting person's death, disabiity or retirement.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Katherine L. Karel; Attorney-</w:t>
            </w: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11/02/2022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Matthew J. Missad</w:t>
            </w: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86284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2022-11-02T14:36:32Z</dcterms:created>
  <dcterms:modified xsi:type="dcterms:W3CDTF">2022-11-02T14:36:32Z</dcterms:modified>
</cp:coreProperties>
</file>