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136,207</w:t>
            </w:r>
          </w:p>
        </w:tc>
        <w:tc>
          <w:tcPr>
            <w:tcW w:w="9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39,071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16,040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 that vest on the fifth (5th) anniversary of the grant date, subject to earlier vesting upon death, disability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  <w:tab/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2023-03-06T08:52:32Z</dcterms:created>
  <dcterms:modified xsi:type="dcterms:W3CDTF">2023-03-06T08:52:32Z</dcterms:modified>
</cp:coreProperties>
</file>